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6026" w:rsidRPr="00A23EF1" w:rsidRDefault="00B16026">
      <w:pPr>
        <w:rPr>
          <w:rFonts w:ascii="Times New Roman" w:hAnsi="Times New Roman"/>
          <w:b/>
          <w:color w:val="000000" w:themeColor="text1"/>
          <w:szCs w:val="22"/>
        </w:rPr>
      </w:pPr>
      <w:r w:rsidRPr="00A23EF1">
        <w:rPr>
          <w:rFonts w:ascii="Times New Roman" w:hAnsi="Times New Roman"/>
          <w:b/>
          <w:color w:val="000000" w:themeColor="text1"/>
          <w:szCs w:val="22"/>
        </w:rPr>
        <w:t>COMMISSION FOR HIGHER EDUCATION</w:t>
      </w:r>
    </w:p>
    <w:p w:rsidR="00B16026" w:rsidRPr="00A23EF1" w:rsidRDefault="00B16026" w:rsidP="001514D1">
      <w:pPr>
        <w:rPr>
          <w:rFonts w:ascii="Times New Roman" w:hAnsi="Times New Roman"/>
          <w:color w:val="000000" w:themeColor="text1"/>
          <w:szCs w:val="22"/>
        </w:rPr>
      </w:pPr>
      <w:r w:rsidRPr="00A23EF1">
        <w:rPr>
          <w:rFonts w:ascii="Times New Roman" w:hAnsi="Times New Roman"/>
          <w:color w:val="000000" w:themeColor="text1"/>
          <w:szCs w:val="22"/>
        </w:rPr>
        <w:t xml:space="preserve">Friday, </w:t>
      </w:r>
      <w:r w:rsidR="001514D1" w:rsidRPr="00A23EF1">
        <w:rPr>
          <w:rFonts w:ascii="Times New Roman" w:hAnsi="Times New Roman"/>
          <w:color w:val="000000" w:themeColor="text1"/>
          <w:szCs w:val="22"/>
        </w:rPr>
        <w:t xml:space="preserve">May </w:t>
      </w:r>
      <w:r w:rsidR="008F40E3" w:rsidRPr="00A23EF1">
        <w:rPr>
          <w:rFonts w:ascii="Times New Roman" w:hAnsi="Times New Roman"/>
          <w:color w:val="000000" w:themeColor="text1"/>
          <w:szCs w:val="22"/>
        </w:rPr>
        <w:t>8</w:t>
      </w:r>
      <w:r w:rsidRPr="00A23EF1">
        <w:rPr>
          <w:rFonts w:ascii="Times New Roman" w:hAnsi="Times New Roman"/>
          <w:color w:val="000000" w:themeColor="text1"/>
          <w:szCs w:val="22"/>
        </w:rPr>
        <w:t xml:space="preserve">, </w:t>
      </w:r>
      <w:r w:rsidR="001514D1" w:rsidRPr="00A23EF1">
        <w:rPr>
          <w:rFonts w:ascii="Times New Roman" w:hAnsi="Times New Roman"/>
          <w:color w:val="000000" w:themeColor="text1"/>
          <w:szCs w:val="22"/>
        </w:rPr>
        <w:t>200</w:t>
      </w:r>
      <w:r w:rsidR="008F40E3" w:rsidRPr="00A23EF1">
        <w:rPr>
          <w:rFonts w:ascii="Times New Roman" w:hAnsi="Times New Roman"/>
          <w:color w:val="000000" w:themeColor="text1"/>
          <w:szCs w:val="22"/>
        </w:rPr>
        <w:t>9</w:t>
      </w:r>
    </w:p>
    <w:p w:rsidR="00B16026" w:rsidRPr="00A23EF1" w:rsidRDefault="00B16026">
      <w:pPr>
        <w:rPr>
          <w:rFonts w:ascii="Times New Roman" w:hAnsi="Times New Roman"/>
          <w:color w:val="000000" w:themeColor="text1"/>
          <w:szCs w:val="22"/>
        </w:rPr>
      </w:pPr>
    </w:p>
    <w:p w:rsidR="00B16026" w:rsidRPr="00A23EF1" w:rsidRDefault="00B16026">
      <w:pPr>
        <w:rPr>
          <w:rFonts w:ascii="Times New Roman" w:hAnsi="Times New Roman"/>
          <w:color w:val="000000" w:themeColor="text1"/>
          <w:szCs w:val="22"/>
        </w:rPr>
      </w:pPr>
    </w:p>
    <w:p w:rsidR="00B16026" w:rsidRPr="00A23EF1" w:rsidRDefault="00B16026">
      <w:pPr>
        <w:rPr>
          <w:rFonts w:ascii="Times New Roman" w:hAnsi="Times New Roman"/>
          <w:color w:val="000000" w:themeColor="text1"/>
          <w:szCs w:val="22"/>
        </w:rPr>
      </w:pPr>
    </w:p>
    <w:p w:rsidR="00B16026" w:rsidRPr="00A23EF1" w:rsidRDefault="00B16026">
      <w:pPr>
        <w:tabs>
          <w:tab w:val="left" w:pos="3240"/>
        </w:tabs>
        <w:ind w:left="3240" w:hanging="3240"/>
        <w:rPr>
          <w:rFonts w:ascii="Times New Roman" w:hAnsi="Times New Roman"/>
          <w:b/>
          <w:color w:val="000000" w:themeColor="text1"/>
          <w:szCs w:val="22"/>
          <w:u w:val="single"/>
        </w:rPr>
      </w:pPr>
      <w:r w:rsidRPr="00A23EF1">
        <w:rPr>
          <w:rFonts w:ascii="Times New Roman" w:hAnsi="Times New Roman"/>
          <w:b/>
          <w:color w:val="000000" w:themeColor="text1"/>
          <w:szCs w:val="22"/>
        </w:rPr>
        <w:t xml:space="preserve">DECISION ITEM </w:t>
      </w:r>
      <w:r w:rsidR="000369DD">
        <w:rPr>
          <w:rFonts w:ascii="Times New Roman" w:hAnsi="Times New Roman"/>
          <w:b/>
          <w:color w:val="000000" w:themeColor="text1"/>
          <w:szCs w:val="22"/>
        </w:rPr>
        <w:t>B-1</w:t>
      </w:r>
      <w:r w:rsidRPr="00A23EF1">
        <w:rPr>
          <w:rFonts w:ascii="Times New Roman" w:hAnsi="Times New Roman"/>
          <w:b/>
          <w:color w:val="000000" w:themeColor="text1"/>
          <w:szCs w:val="22"/>
        </w:rPr>
        <w:t>:</w:t>
      </w:r>
      <w:r w:rsidRPr="00A23EF1">
        <w:rPr>
          <w:rFonts w:ascii="Times New Roman" w:hAnsi="Times New Roman"/>
          <w:b/>
          <w:color w:val="000000" w:themeColor="text1"/>
          <w:szCs w:val="22"/>
        </w:rPr>
        <w:tab/>
      </w:r>
      <w:r w:rsidR="001514D1" w:rsidRPr="00A23EF1">
        <w:rPr>
          <w:rFonts w:ascii="Times New Roman" w:hAnsi="Times New Roman"/>
          <w:b/>
          <w:color w:val="000000" w:themeColor="text1"/>
          <w:szCs w:val="22"/>
          <w:u w:val="single"/>
        </w:rPr>
        <w:t xml:space="preserve">Renovation of </w:t>
      </w:r>
      <w:r w:rsidR="00135620" w:rsidRPr="00A23EF1">
        <w:rPr>
          <w:rFonts w:ascii="Times New Roman" w:hAnsi="Times New Roman"/>
          <w:b/>
          <w:color w:val="000000" w:themeColor="text1"/>
          <w:szCs w:val="22"/>
          <w:u w:val="single"/>
        </w:rPr>
        <w:t>Sandison Residence Hall</w:t>
      </w:r>
      <w:r w:rsidR="001514D1" w:rsidRPr="00A23EF1">
        <w:rPr>
          <w:rFonts w:ascii="Times New Roman" w:hAnsi="Times New Roman"/>
          <w:b/>
          <w:color w:val="000000" w:themeColor="text1"/>
          <w:szCs w:val="22"/>
          <w:u w:val="single"/>
        </w:rPr>
        <w:t xml:space="preserve"> at Indiana State University</w:t>
      </w:r>
    </w:p>
    <w:p w:rsidR="00B16026" w:rsidRPr="00A23EF1" w:rsidRDefault="00B16026">
      <w:pPr>
        <w:tabs>
          <w:tab w:val="left" w:pos="3240"/>
        </w:tabs>
        <w:ind w:left="3240" w:hanging="3240"/>
        <w:rPr>
          <w:rFonts w:ascii="Times New Roman" w:hAnsi="Times New Roman"/>
          <w:b/>
          <w:color w:val="000000" w:themeColor="text1"/>
          <w:szCs w:val="22"/>
        </w:rPr>
      </w:pPr>
    </w:p>
    <w:p w:rsidR="00B16026" w:rsidRPr="00A23EF1" w:rsidRDefault="00B16026">
      <w:pPr>
        <w:tabs>
          <w:tab w:val="left" w:pos="3240"/>
        </w:tabs>
        <w:ind w:left="3240" w:hanging="3240"/>
        <w:rPr>
          <w:rFonts w:ascii="Times New Roman" w:hAnsi="Times New Roman"/>
          <w:b/>
          <w:color w:val="000000" w:themeColor="text1"/>
          <w:szCs w:val="22"/>
        </w:rPr>
      </w:pPr>
    </w:p>
    <w:p w:rsidR="00B16026" w:rsidRPr="00A23EF1" w:rsidRDefault="00B16026">
      <w:pPr>
        <w:tabs>
          <w:tab w:val="left" w:pos="3240"/>
        </w:tabs>
        <w:ind w:left="3240" w:hanging="3240"/>
        <w:rPr>
          <w:rFonts w:ascii="Times New Roman" w:hAnsi="Times New Roman"/>
          <w:b/>
          <w:color w:val="000000" w:themeColor="text1"/>
          <w:szCs w:val="22"/>
        </w:rPr>
      </w:pPr>
    </w:p>
    <w:p w:rsidR="00B16026" w:rsidRPr="00A23EF1" w:rsidRDefault="00B16026" w:rsidP="001514D1">
      <w:pPr>
        <w:tabs>
          <w:tab w:val="left" w:pos="3240"/>
        </w:tabs>
        <w:ind w:left="3240" w:hanging="3240"/>
        <w:rPr>
          <w:rFonts w:ascii="Times New Roman" w:hAnsi="Times New Roman"/>
          <w:color w:val="000000" w:themeColor="text1"/>
          <w:szCs w:val="22"/>
        </w:rPr>
      </w:pPr>
      <w:r w:rsidRPr="00A23EF1">
        <w:rPr>
          <w:rFonts w:ascii="Times New Roman" w:hAnsi="Times New Roman"/>
          <w:b/>
          <w:color w:val="000000" w:themeColor="text1"/>
          <w:szCs w:val="22"/>
        </w:rPr>
        <w:t>Staff Recommendation</w:t>
      </w:r>
      <w:r w:rsidRPr="00A23EF1">
        <w:rPr>
          <w:rFonts w:ascii="Times New Roman" w:hAnsi="Times New Roman"/>
          <w:b/>
          <w:color w:val="000000" w:themeColor="text1"/>
          <w:szCs w:val="22"/>
        </w:rPr>
        <w:tab/>
      </w:r>
      <w:r w:rsidRPr="00A23EF1">
        <w:rPr>
          <w:rFonts w:ascii="Times New Roman" w:hAnsi="Times New Roman"/>
          <w:color w:val="000000" w:themeColor="text1"/>
          <w:szCs w:val="22"/>
        </w:rPr>
        <w:t xml:space="preserve">That the Commission for Higher Education </w:t>
      </w:r>
      <w:proofErr w:type="gramStart"/>
      <w:r w:rsidRPr="00A23EF1">
        <w:rPr>
          <w:rFonts w:ascii="Times New Roman" w:hAnsi="Times New Roman"/>
          <w:color w:val="000000" w:themeColor="text1"/>
          <w:szCs w:val="22"/>
        </w:rPr>
        <w:t>recommend</w:t>
      </w:r>
      <w:proofErr w:type="gramEnd"/>
      <w:r w:rsidRPr="00A23EF1">
        <w:rPr>
          <w:rFonts w:ascii="Times New Roman" w:hAnsi="Times New Roman"/>
          <w:color w:val="000000" w:themeColor="text1"/>
          <w:szCs w:val="22"/>
        </w:rPr>
        <w:t xml:space="preserve"> approval to the State Budget Agency and the State Budget Committee of the project </w:t>
      </w:r>
      <w:r w:rsidR="001514D1" w:rsidRPr="00A23EF1">
        <w:rPr>
          <w:rFonts w:ascii="Times New Roman" w:hAnsi="Times New Roman"/>
          <w:i/>
          <w:iCs/>
          <w:color w:val="000000" w:themeColor="text1"/>
          <w:szCs w:val="22"/>
        </w:rPr>
        <w:t xml:space="preserve">Renovation of </w:t>
      </w:r>
      <w:r w:rsidR="00135620" w:rsidRPr="00A23EF1">
        <w:rPr>
          <w:rFonts w:ascii="Times New Roman" w:hAnsi="Times New Roman"/>
          <w:i/>
          <w:iCs/>
          <w:color w:val="000000" w:themeColor="text1"/>
          <w:szCs w:val="22"/>
        </w:rPr>
        <w:t>Sandison</w:t>
      </w:r>
      <w:r w:rsidR="001514D1" w:rsidRPr="00A23EF1">
        <w:rPr>
          <w:rFonts w:ascii="Times New Roman" w:hAnsi="Times New Roman"/>
          <w:i/>
          <w:iCs/>
          <w:color w:val="000000" w:themeColor="text1"/>
          <w:szCs w:val="22"/>
        </w:rPr>
        <w:t xml:space="preserve"> Residence Hall</w:t>
      </w:r>
      <w:r w:rsidRPr="00A23EF1">
        <w:rPr>
          <w:rFonts w:ascii="Times New Roman" w:hAnsi="Times New Roman"/>
          <w:color w:val="000000" w:themeColor="text1"/>
          <w:szCs w:val="22"/>
        </w:rPr>
        <w:t xml:space="preserve">, as described in the project description and staff analysis dated </w:t>
      </w:r>
      <w:r w:rsidR="00135620" w:rsidRPr="00A23EF1">
        <w:rPr>
          <w:rFonts w:ascii="Times New Roman" w:hAnsi="Times New Roman"/>
          <w:color w:val="000000" w:themeColor="text1"/>
          <w:szCs w:val="22"/>
        </w:rPr>
        <w:t>April 29</w:t>
      </w:r>
      <w:r w:rsidR="001514D1" w:rsidRPr="00A23EF1">
        <w:rPr>
          <w:rFonts w:ascii="Times New Roman" w:hAnsi="Times New Roman"/>
          <w:color w:val="000000" w:themeColor="text1"/>
          <w:szCs w:val="22"/>
        </w:rPr>
        <w:t>, 200</w:t>
      </w:r>
      <w:r w:rsidR="00135620" w:rsidRPr="00A23EF1">
        <w:rPr>
          <w:rFonts w:ascii="Times New Roman" w:hAnsi="Times New Roman"/>
          <w:color w:val="000000" w:themeColor="text1"/>
          <w:szCs w:val="22"/>
        </w:rPr>
        <w:t>9</w:t>
      </w:r>
      <w:r w:rsidRPr="00A23EF1">
        <w:rPr>
          <w:rFonts w:ascii="Times New Roman" w:hAnsi="Times New Roman"/>
          <w:color w:val="000000" w:themeColor="text1"/>
          <w:szCs w:val="22"/>
        </w:rPr>
        <w:t>.</w:t>
      </w:r>
    </w:p>
    <w:p w:rsidR="00B16026" w:rsidRPr="00A23EF1" w:rsidRDefault="00B16026" w:rsidP="001514D1">
      <w:pPr>
        <w:tabs>
          <w:tab w:val="left" w:pos="3240"/>
        </w:tabs>
        <w:ind w:left="3240" w:hanging="3240"/>
        <w:rPr>
          <w:rFonts w:ascii="Times New Roman" w:hAnsi="Times New Roman"/>
          <w:color w:val="000000" w:themeColor="text1"/>
          <w:szCs w:val="22"/>
        </w:rPr>
      </w:pPr>
      <w:r w:rsidRPr="00A23EF1">
        <w:rPr>
          <w:rFonts w:ascii="Times New Roman" w:hAnsi="Times New Roman"/>
          <w:color w:val="000000" w:themeColor="text1"/>
          <w:szCs w:val="22"/>
        </w:rPr>
        <w:tab/>
      </w:r>
    </w:p>
    <w:p w:rsidR="00B16026" w:rsidRPr="00A23EF1" w:rsidRDefault="00B16026" w:rsidP="001514D1">
      <w:pPr>
        <w:tabs>
          <w:tab w:val="left" w:pos="3240"/>
        </w:tabs>
        <w:ind w:left="3240" w:hanging="3240"/>
        <w:rPr>
          <w:rFonts w:ascii="Times New Roman" w:hAnsi="Times New Roman"/>
          <w:color w:val="000000" w:themeColor="text1"/>
          <w:szCs w:val="22"/>
        </w:rPr>
      </w:pPr>
      <w:r w:rsidRPr="00A23EF1">
        <w:rPr>
          <w:rFonts w:ascii="Times New Roman" w:hAnsi="Times New Roman"/>
          <w:b/>
          <w:color w:val="000000" w:themeColor="text1"/>
          <w:szCs w:val="22"/>
        </w:rPr>
        <w:t>Background</w:t>
      </w:r>
      <w:r w:rsidRPr="00A23EF1">
        <w:rPr>
          <w:rFonts w:ascii="Times New Roman" w:hAnsi="Times New Roman"/>
          <w:b/>
          <w:color w:val="000000" w:themeColor="text1"/>
          <w:szCs w:val="22"/>
        </w:rPr>
        <w:tab/>
      </w:r>
      <w:r w:rsidRPr="00A23EF1">
        <w:rPr>
          <w:rFonts w:ascii="Times New Roman" w:hAnsi="Times New Roman"/>
          <w:color w:val="000000" w:themeColor="text1"/>
          <w:szCs w:val="22"/>
        </w:rPr>
        <w:t xml:space="preserve">By statute, the Commission for Higher Education must review all </w:t>
      </w:r>
      <w:r w:rsidR="001514D1" w:rsidRPr="00A23EF1">
        <w:rPr>
          <w:rFonts w:ascii="Times New Roman" w:hAnsi="Times New Roman"/>
          <w:color w:val="000000" w:themeColor="text1"/>
          <w:szCs w:val="22"/>
        </w:rPr>
        <w:t xml:space="preserve">repair and rehabilitation </w:t>
      </w:r>
      <w:r w:rsidRPr="00A23EF1">
        <w:rPr>
          <w:rFonts w:ascii="Times New Roman" w:hAnsi="Times New Roman"/>
          <w:color w:val="000000" w:themeColor="text1"/>
          <w:szCs w:val="22"/>
        </w:rPr>
        <w:t>projects</w:t>
      </w:r>
      <w:r w:rsidR="001514D1" w:rsidRPr="00A23EF1">
        <w:rPr>
          <w:rFonts w:ascii="Times New Roman" w:hAnsi="Times New Roman"/>
          <w:color w:val="000000" w:themeColor="text1"/>
          <w:szCs w:val="22"/>
        </w:rPr>
        <w:t>, which exceed $1,000,000, regardless of the source of funding.  If any state-appropriated funds or mandatory student fees assessed all students are used, the threshold above which Commission review is required is $500,000.</w:t>
      </w:r>
    </w:p>
    <w:p w:rsidR="00B16026" w:rsidRPr="00A23EF1" w:rsidRDefault="00B16026">
      <w:pPr>
        <w:tabs>
          <w:tab w:val="left" w:pos="3240"/>
        </w:tabs>
        <w:ind w:left="3240" w:hanging="3240"/>
        <w:rPr>
          <w:rFonts w:ascii="Times New Roman" w:hAnsi="Times New Roman"/>
          <w:b/>
          <w:color w:val="000000" w:themeColor="text1"/>
          <w:szCs w:val="22"/>
        </w:rPr>
      </w:pPr>
    </w:p>
    <w:p w:rsidR="00B16026" w:rsidRPr="00A23EF1" w:rsidRDefault="00B16026" w:rsidP="001514D1">
      <w:pPr>
        <w:pStyle w:val="BodyTextIndent"/>
        <w:rPr>
          <w:color w:val="000000" w:themeColor="text1"/>
          <w:szCs w:val="22"/>
        </w:rPr>
      </w:pPr>
      <w:r w:rsidRPr="00A23EF1">
        <w:rPr>
          <w:color w:val="000000" w:themeColor="text1"/>
          <w:szCs w:val="22"/>
        </w:rPr>
        <w:tab/>
      </w:r>
      <w:r w:rsidR="001514D1" w:rsidRPr="00A23EF1">
        <w:rPr>
          <w:color w:val="000000" w:themeColor="text1"/>
          <w:szCs w:val="22"/>
        </w:rPr>
        <w:t xml:space="preserve">The Trustees of Indiana State University request approval to proceed with the renovation and reconfiguration of </w:t>
      </w:r>
      <w:r w:rsidR="00E0211E" w:rsidRPr="00A23EF1">
        <w:rPr>
          <w:color w:val="000000" w:themeColor="text1"/>
          <w:szCs w:val="22"/>
        </w:rPr>
        <w:t>Sandison Residence Hall on the Terre Haute campus</w:t>
      </w:r>
      <w:r w:rsidR="001514D1" w:rsidRPr="00A23EF1">
        <w:rPr>
          <w:color w:val="000000" w:themeColor="text1"/>
          <w:szCs w:val="22"/>
        </w:rPr>
        <w:t xml:space="preserve">.  </w:t>
      </w:r>
      <w:r w:rsidR="00E0211E" w:rsidRPr="00A23EF1">
        <w:rPr>
          <w:color w:val="000000" w:themeColor="text1"/>
          <w:szCs w:val="22"/>
        </w:rPr>
        <w:t xml:space="preserve">Indiana State University is in the process of a systemic renovation of residence hall facilities throughout campus.  The renovation of Sandison Hall includes a reconfiguration from the current floor plan to an air conditioned building containing double rooms with private baths and individual heat and air controls.  The renovation also includes a fire suppression system with sprinklers and alarms in each room, replacement of roof, heating system, windows and electrical structural repairs.  The project also includes ADA compliance and technology infrastructure upgrades.  </w:t>
      </w:r>
      <w:r w:rsidR="001514D1" w:rsidRPr="00A23EF1">
        <w:rPr>
          <w:color w:val="000000" w:themeColor="text1"/>
          <w:szCs w:val="22"/>
        </w:rPr>
        <w:t xml:space="preserve">The project will be funded from </w:t>
      </w:r>
      <w:r w:rsidR="006140E3" w:rsidRPr="00A23EF1">
        <w:rPr>
          <w:color w:val="000000" w:themeColor="text1"/>
          <w:szCs w:val="22"/>
        </w:rPr>
        <w:t xml:space="preserve">$1,500,000 in </w:t>
      </w:r>
      <w:r w:rsidR="001514D1" w:rsidRPr="00A23EF1">
        <w:rPr>
          <w:color w:val="000000" w:themeColor="text1"/>
          <w:szCs w:val="22"/>
        </w:rPr>
        <w:t xml:space="preserve">residence hall reserves and </w:t>
      </w:r>
      <w:r w:rsidR="006140E3" w:rsidRPr="00A23EF1">
        <w:rPr>
          <w:color w:val="000000" w:themeColor="text1"/>
          <w:szCs w:val="22"/>
        </w:rPr>
        <w:t xml:space="preserve">$9,500,000 in </w:t>
      </w:r>
      <w:r w:rsidR="001514D1" w:rsidRPr="00A23EF1">
        <w:rPr>
          <w:color w:val="000000" w:themeColor="text1"/>
          <w:szCs w:val="22"/>
        </w:rPr>
        <w:t xml:space="preserve">revenue bonds issued under </w:t>
      </w:r>
      <w:r w:rsidR="002C3B2A" w:rsidRPr="00A23EF1">
        <w:rPr>
          <w:color w:val="000000" w:themeColor="text1"/>
          <w:szCs w:val="22"/>
        </w:rPr>
        <w:t>the Acts of 1965.  The bonds will be repaid through Residence Hall Operating Budgets.  No state funds or mandatory student fees support the project.</w:t>
      </w:r>
      <w:r w:rsidR="00E0211E" w:rsidRPr="00A23EF1">
        <w:rPr>
          <w:color w:val="000000" w:themeColor="text1"/>
          <w:szCs w:val="22"/>
        </w:rPr>
        <w:t xml:space="preserve">  </w:t>
      </w:r>
    </w:p>
    <w:p w:rsidR="00B16026" w:rsidRPr="00A23EF1" w:rsidRDefault="00B16026">
      <w:pPr>
        <w:tabs>
          <w:tab w:val="left" w:pos="3240"/>
        </w:tabs>
        <w:ind w:left="3240" w:hanging="3240"/>
        <w:rPr>
          <w:rFonts w:ascii="Times New Roman" w:hAnsi="Times New Roman"/>
          <w:color w:val="000000" w:themeColor="text1"/>
          <w:szCs w:val="22"/>
        </w:rPr>
      </w:pPr>
    </w:p>
    <w:p w:rsidR="00B16026" w:rsidRPr="00A23EF1" w:rsidRDefault="00B16026" w:rsidP="00C24FF4">
      <w:pPr>
        <w:tabs>
          <w:tab w:val="left" w:pos="3240"/>
          <w:tab w:val="left" w:pos="3960"/>
        </w:tabs>
        <w:ind w:left="3240" w:hanging="3240"/>
        <w:rPr>
          <w:rFonts w:ascii="Times New Roman" w:hAnsi="Times New Roman"/>
          <w:color w:val="000000" w:themeColor="text1"/>
          <w:szCs w:val="22"/>
        </w:rPr>
      </w:pPr>
      <w:proofErr w:type="gramStart"/>
      <w:r w:rsidRPr="00A23EF1">
        <w:rPr>
          <w:rFonts w:ascii="Times New Roman" w:hAnsi="Times New Roman"/>
          <w:b/>
          <w:color w:val="000000" w:themeColor="text1"/>
          <w:szCs w:val="22"/>
        </w:rPr>
        <w:t>Supporting Document</w:t>
      </w:r>
      <w:r w:rsidRPr="00A23EF1">
        <w:rPr>
          <w:rFonts w:ascii="Times New Roman" w:hAnsi="Times New Roman"/>
          <w:color w:val="000000" w:themeColor="text1"/>
          <w:szCs w:val="22"/>
        </w:rPr>
        <w:tab/>
      </w:r>
      <w:r w:rsidR="001514D1" w:rsidRPr="00A23EF1">
        <w:rPr>
          <w:rFonts w:ascii="Times New Roman" w:hAnsi="Times New Roman"/>
          <w:i/>
          <w:color w:val="000000" w:themeColor="text1"/>
          <w:szCs w:val="22"/>
        </w:rPr>
        <w:t xml:space="preserve">Renovation of </w:t>
      </w:r>
      <w:r w:rsidR="00135620" w:rsidRPr="00A23EF1">
        <w:rPr>
          <w:rFonts w:ascii="Times New Roman" w:hAnsi="Times New Roman"/>
          <w:i/>
          <w:color w:val="000000" w:themeColor="text1"/>
          <w:szCs w:val="22"/>
        </w:rPr>
        <w:t>Sandison</w:t>
      </w:r>
      <w:r w:rsidR="001514D1" w:rsidRPr="00A23EF1">
        <w:rPr>
          <w:rFonts w:ascii="Times New Roman" w:hAnsi="Times New Roman"/>
          <w:i/>
          <w:color w:val="000000" w:themeColor="text1"/>
          <w:szCs w:val="22"/>
        </w:rPr>
        <w:t xml:space="preserve"> Residence Hall</w:t>
      </w:r>
      <w:r w:rsidRPr="00A23EF1">
        <w:rPr>
          <w:rFonts w:ascii="Times New Roman" w:hAnsi="Times New Roman"/>
          <w:i/>
          <w:color w:val="000000" w:themeColor="text1"/>
          <w:szCs w:val="22"/>
        </w:rPr>
        <w:t xml:space="preserve">, </w:t>
      </w:r>
      <w:r w:rsidR="00135620" w:rsidRPr="00A23EF1">
        <w:rPr>
          <w:rFonts w:ascii="Times New Roman" w:hAnsi="Times New Roman"/>
          <w:color w:val="000000" w:themeColor="text1"/>
          <w:szCs w:val="22"/>
        </w:rPr>
        <w:t>April 29</w:t>
      </w:r>
      <w:r w:rsidRPr="00A23EF1">
        <w:rPr>
          <w:rFonts w:ascii="Times New Roman" w:hAnsi="Times New Roman"/>
          <w:iCs/>
          <w:color w:val="000000" w:themeColor="text1"/>
          <w:szCs w:val="22"/>
        </w:rPr>
        <w:t>, 200</w:t>
      </w:r>
      <w:r w:rsidR="00135620" w:rsidRPr="00A23EF1">
        <w:rPr>
          <w:rFonts w:ascii="Times New Roman" w:hAnsi="Times New Roman"/>
          <w:iCs/>
          <w:color w:val="000000" w:themeColor="text1"/>
          <w:szCs w:val="22"/>
        </w:rPr>
        <w:t>9</w:t>
      </w:r>
      <w:r w:rsidRPr="00A23EF1">
        <w:rPr>
          <w:rFonts w:ascii="Times New Roman" w:hAnsi="Times New Roman"/>
          <w:i/>
          <w:color w:val="000000" w:themeColor="text1"/>
          <w:szCs w:val="22"/>
        </w:rPr>
        <w:t>.</w:t>
      </w:r>
      <w:proofErr w:type="gramEnd"/>
    </w:p>
    <w:p w:rsidR="00B16026" w:rsidRPr="00A23EF1" w:rsidRDefault="00B16026">
      <w:pPr>
        <w:tabs>
          <w:tab w:val="left" w:pos="3240"/>
          <w:tab w:val="left" w:pos="3690"/>
          <w:tab w:val="left" w:pos="3960"/>
        </w:tabs>
        <w:ind w:left="3690" w:hanging="3690"/>
        <w:rPr>
          <w:rFonts w:ascii="Times New Roman" w:hAnsi="Times New Roman"/>
          <w:color w:val="000000" w:themeColor="text1"/>
          <w:szCs w:val="22"/>
        </w:rPr>
      </w:pPr>
    </w:p>
    <w:p w:rsidR="00B16026" w:rsidRPr="00A23EF1" w:rsidRDefault="00B16026">
      <w:pPr>
        <w:tabs>
          <w:tab w:val="left" w:pos="3240"/>
          <w:tab w:val="left" w:pos="3690"/>
          <w:tab w:val="left" w:pos="3960"/>
        </w:tabs>
        <w:ind w:left="3690" w:hanging="3690"/>
        <w:rPr>
          <w:rFonts w:ascii="Times New Roman" w:hAnsi="Times New Roman"/>
          <w:color w:val="000000" w:themeColor="text1"/>
          <w:szCs w:val="22"/>
        </w:rPr>
      </w:pPr>
    </w:p>
    <w:p w:rsidR="00B16026" w:rsidRPr="00A23EF1" w:rsidRDefault="00B16026">
      <w:pPr>
        <w:ind w:right="720"/>
        <w:jc w:val="center"/>
        <w:rPr>
          <w:rFonts w:ascii="Times New Roman" w:hAnsi="Times New Roman"/>
          <w:b/>
          <w:bCs/>
          <w:color w:val="000000" w:themeColor="text1"/>
          <w:szCs w:val="22"/>
        </w:rPr>
      </w:pPr>
      <w:r w:rsidRPr="00A23EF1">
        <w:rPr>
          <w:rFonts w:ascii="Times New Roman" w:hAnsi="Times New Roman"/>
          <w:color w:val="000000" w:themeColor="text1"/>
          <w:szCs w:val="22"/>
        </w:rPr>
        <w:br w:type="page"/>
      </w:r>
      <w:r w:rsidR="00CD47E2" w:rsidRPr="00A23EF1">
        <w:rPr>
          <w:rFonts w:ascii="Times New Roman" w:hAnsi="Times New Roman"/>
          <w:b/>
          <w:bCs/>
          <w:color w:val="000000" w:themeColor="text1"/>
          <w:szCs w:val="22"/>
        </w:rPr>
        <w:lastRenderedPageBreak/>
        <w:t xml:space="preserve">RENOVATION OF </w:t>
      </w:r>
      <w:r w:rsidR="00135620" w:rsidRPr="00A23EF1">
        <w:rPr>
          <w:rFonts w:ascii="Times New Roman" w:hAnsi="Times New Roman"/>
          <w:b/>
          <w:bCs/>
          <w:color w:val="000000" w:themeColor="text1"/>
          <w:szCs w:val="22"/>
        </w:rPr>
        <w:t>SANDISON</w:t>
      </w:r>
      <w:r w:rsidR="00CD47E2" w:rsidRPr="00A23EF1">
        <w:rPr>
          <w:rFonts w:ascii="Times New Roman" w:hAnsi="Times New Roman"/>
          <w:b/>
          <w:bCs/>
          <w:color w:val="000000" w:themeColor="text1"/>
          <w:szCs w:val="22"/>
        </w:rPr>
        <w:t xml:space="preserve"> RESIDENCE HALL</w:t>
      </w:r>
    </w:p>
    <w:p w:rsidR="00B16026" w:rsidRPr="00A23EF1" w:rsidRDefault="00B16026">
      <w:pPr>
        <w:ind w:right="720"/>
        <w:rPr>
          <w:rFonts w:ascii="Times New Roman" w:hAnsi="Times New Roman"/>
          <w:b/>
          <w:color w:val="000000" w:themeColor="text1"/>
          <w:szCs w:val="22"/>
        </w:rPr>
      </w:pPr>
    </w:p>
    <w:p w:rsidR="00EF75E6" w:rsidRPr="00A23EF1" w:rsidRDefault="00135620" w:rsidP="00EF75E6">
      <w:pPr>
        <w:ind w:right="720"/>
        <w:jc w:val="center"/>
        <w:rPr>
          <w:rFonts w:ascii="Times New Roman" w:hAnsi="Times New Roman"/>
          <w:b/>
          <w:color w:val="000000" w:themeColor="text1"/>
          <w:szCs w:val="22"/>
        </w:rPr>
      </w:pPr>
      <w:r w:rsidRPr="00A23EF1">
        <w:rPr>
          <w:rFonts w:ascii="Times New Roman" w:hAnsi="Times New Roman"/>
          <w:b/>
          <w:color w:val="000000" w:themeColor="text1"/>
          <w:szCs w:val="22"/>
        </w:rPr>
        <w:t>April 29, 2009</w:t>
      </w:r>
    </w:p>
    <w:p w:rsidR="00EF75E6" w:rsidRPr="00A23EF1" w:rsidRDefault="00EF75E6">
      <w:pPr>
        <w:ind w:right="720"/>
        <w:rPr>
          <w:rFonts w:ascii="Times New Roman" w:hAnsi="Times New Roman"/>
          <w:b/>
          <w:color w:val="000000" w:themeColor="text1"/>
          <w:szCs w:val="22"/>
        </w:rPr>
      </w:pPr>
    </w:p>
    <w:p w:rsidR="00B16026" w:rsidRPr="00A23EF1" w:rsidRDefault="00B16026">
      <w:pPr>
        <w:pStyle w:val="Heading1"/>
        <w:ind w:left="0"/>
        <w:rPr>
          <w:color w:val="000000" w:themeColor="text1"/>
          <w:szCs w:val="22"/>
        </w:rPr>
      </w:pPr>
      <w:r w:rsidRPr="00A23EF1">
        <w:rPr>
          <w:color w:val="000000" w:themeColor="text1"/>
          <w:szCs w:val="22"/>
        </w:rPr>
        <w:t>Project Description and Staff Analysis</w:t>
      </w:r>
      <w:r w:rsidR="00EF75E6" w:rsidRPr="00A23EF1">
        <w:rPr>
          <w:rStyle w:val="FootnoteReference"/>
          <w:color w:val="000000" w:themeColor="text1"/>
          <w:szCs w:val="22"/>
        </w:rPr>
        <w:footnoteReference w:id="2"/>
      </w:r>
    </w:p>
    <w:p w:rsidR="00B16026" w:rsidRPr="00A23EF1" w:rsidRDefault="00B16026">
      <w:pPr>
        <w:ind w:right="720"/>
        <w:rPr>
          <w:rFonts w:ascii="Times New Roman" w:hAnsi="Times New Roman"/>
          <w:color w:val="000000" w:themeColor="text1"/>
          <w:szCs w:val="22"/>
        </w:rPr>
      </w:pPr>
    </w:p>
    <w:p w:rsidR="00B16026" w:rsidRPr="00A23EF1" w:rsidRDefault="00B16026">
      <w:pPr>
        <w:ind w:right="720"/>
        <w:rPr>
          <w:rFonts w:ascii="Times New Roman" w:hAnsi="Times New Roman"/>
          <w:color w:val="000000" w:themeColor="text1"/>
          <w:szCs w:val="22"/>
        </w:rPr>
      </w:pPr>
    </w:p>
    <w:p w:rsidR="00B16026" w:rsidRPr="00A23EF1" w:rsidRDefault="00EF75E6">
      <w:pPr>
        <w:pStyle w:val="Heading2"/>
        <w:ind w:left="0"/>
        <w:rPr>
          <w:color w:val="000000" w:themeColor="text1"/>
          <w:szCs w:val="22"/>
        </w:rPr>
      </w:pPr>
      <w:r w:rsidRPr="00A23EF1">
        <w:rPr>
          <w:color w:val="000000" w:themeColor="text1"/>
          <w:szCs w:val="22"/>
        </w:rPr>
        <w:t xml:space="preserve">PROJECT </w:t>
      </w:r>
      <w:r w:rsidR="00B16026" w:rsidRPr="00A23EF1">
        <w:rPr>
          <w:color w:val="000000" w:themeColor="text1"/>
          <w:szCs w:val="22"/>
        </w:rPr>
        <w:t>SUMMARY</w:t>
      </w:r>
      <w:r w:rsidRPr="00A23EF1">
        <w:rPr>
          <w:color w:val="000000" w:themeColor="text1"/>
          <w:szCs w:val="22"/>
        </w:rPr>
        <w:t>:</w:t>
      </w:r>
    </w:p>
    <w:p w:rsidR="00B16026" w:rsidRPr="00A23EF1" w:rsidRDefault="00B16026">
      <w:pPr>
        <w:ind w:right="720"/>
        <w:rPr>
          <w:rFonts w:ascii="Times New Roman" w:hAnsi="Times New Roman"/>
          <w:color w:val="000000" w:themeColor="text1"/>
          <w:szCs w:val="22"/>
        </w:rPr>
      </w:pPr>
    </w:p>
    <w:p w:rsidR="00EF75E6" w:rsidRPr="00A23EF1" w:rsidRDefault="00A876A3" w:rsidP="001B23FD">
      <w:pPr>
        <w:ind w:right="720"/>
        <w:rPr>
          <w:rFonts w:ascii="Times New Roman" w:hAnsi="Times New Roman"/>
          <w:color w:val="000000" w:themeColor="text1"/>
          <w:szCs w:val="22"/>
        </w:rPr>
      </w:pPr>
      <w:r w:rsidRPr="00A23EF1">
        <w:rPr>
          <w:rFonts w:ascii="Times New Roman" w:hAnsi="Times New Roman"/>
          <w:color w:val="000000" w:themeColor="text1"/>
          <w:szCs w:val="22"/>
        </w:rPr>
        <w:t xml:space="preserve">The Trustees of Indiana State University request approval to proceed with the renovation and reconfiguration of Sandison Residence Hall on the Terre Haute campus.  Indiana State University is in the process of a systemic renovation of residence hall facilities throughout campus.  The renovation of Sandison Hall includes a reconfiguration from the current floor plan to an air conditioned building containing double rooms with private baths and individual heat and air controls.  The renovation also includes </w:t>
      </w:r>
      <w:r w:rsidR="00BE051D" w:rsidRPr="00A23EF1">
        <w:rPr>
          <w:rFonts w:ascii="Times New Roman" w:hAnsi="Times New Roman"/>
          <w:color w:val="000000" w:themeColor="text1"/>
          <w:szCs w:val="22"/>
        </w:rPr>
        <w:t xml:space="preserve">infrastructure upgrades.  </w:t>
      </w:r>
      <w:r w:rsidRPr="00A23EF1">
        <w:rPr>
          <w:rFonts w:ascii="Times New Roman" w:hAnsi="Times New Roman"/>
          <w:color w:val="000000" w:themeColor="text1"/>
          <w:szCs w:val="22"/>
        </w:rPr>
        <w:t>The project will be funded from $1,500,000 in residence hall reserves and $9,500,000 in revenue bonds issued under the Acts of 1965.  The bonds will be repaid through Residence Hall Operating Budgets.  No state funds or mandatory student fees support the project.</w:t>
      </w:r>
    </w:p>
    <w:p w:rsidR="00B16026" w:rsidRPr="00A23EF1" w:rsidRDefault="00B16026">
      <w:pPr>
        <w:ind w:right="720"/>
        <w:rPr>
          <w:rFonts w:ascii="Times New Roman" w:hAnsi="Times New Roman"/>
          <w:color w:val="000000" w:themeColor="text1"/>
          <w:szCs w:val="22"/>
        </w:rPr>
      </w:pPr>
    </w:p>
    <w:p w:rsidR="00B16026" w:rsidRPr="00A23EF1" w:rsidRDefault="00EF75E6" w:rsidP="00EF75E6">
      <w:pPr>
        <w:ind w:right="720"/>
        <w:rPr>
          <w:rFonts w:ascii="Times New Roman" w:hAnsi="Times New Roman"/>
          <w:color w:val="000000" w:themeColor="text1"/>
          <w:szCs w:val="22"/>
          <w:u w:val="single"/>
        </w:rPr>
      </w:pPr>
      <w:r w:rsidRPr="00A23EF1">
        <w:rPr>
          <w:rFonts w:ascii="Times New Roman" w:hAnsi="Times New Roman"/>
          <w:color w:val="000000" w:themeColor="text1"/>
          <w:szCs w:val="22"/>
          <w:u w:val="single"/>
        </w:rPr>
        <w:t xml:space="preserve">PROJECT </w:t>
      </w:r>
      <w:r w:rsidR="00B16026" w:rsidRPr="00A23EF1">
        <w:rPr>
          <w:rFonts w:ascii="Times New Roman" w:hAnsi="Times New Roman"/>
          <w:color w:val="000000" w:themeColor="text1"/>
          <w:szCs w:val="22"/>
          <w:u w:val="single"/>
        </w:rPr>
        <w:t>DESCRIPTION</w:t>
      </w:r>
      <w:r w:rsidRPr="00A23EF1">
        <w:rPr>
          <w:rFonts w:ascii="Times New Roman" w:hAnsi="Times New Roman"/>
          <w:color w:val="000000" w:themeColor="text1"/>
          <w:szCs w:val="22"/>
          <w:u w:val="single"/>
        </w:rPr>
        <w:t>:</w:t>
      </w:r>
    </w:p>
    <w:p w:rsidR="00B16026" w:rsidRPr="00A23EF1" w:rsidRDefault="00B16026">
      <w:pPr>
        <w:ind w:right="720"/>
        <w:rPr>
          <w:rFonts w:ascii="Times New Roman" w:hAnsi="Times New Roman"/>
          <w:color w:val="000000" w:themeColor="text1"/>
          <w:szCs w:val="22"/>
        </w:rPr>
      </w:pPr>
    </w:p>
    <w:p w:rsidR="00EF75E6" w:rsidRPr="00A23EF1" w:rsidRDefault="00D1441C" w:rsidP="00D1441C">
      <w:pPr>
        <w:autoSpaceDE w:val="0"/>
        <w:autoSpaceDN w:val="0"/>
        <w:adjustRightInd w:val="0"/>
        <w:rPr>
          <w:rFonts w:ascii="Times New Roman" w:hAnsi="Times New Roman"/>
          <w:color w:val="000000" w:themeColor="text1"/>
          <w:szCs w:val="22"/>
        </w:rPr>
      </w:pPr>
      <w:r w:rsidRPr="00A23EF1">
        <w:rPr>
          <w:rFonts w:ascii="Times New Roman" w:hAnsi="Times New Roman"/>
          <w:color w:val="000000" w:themeColor="text1"/>
          <w:szCs w:val="22"/>
        </w:rPr>
        <w:t>Th</w:t>
      </w:r>
      <w:r w:rsidR="00497703" w:rsidRPr="00A23EF1">
        <w:rPr>
          <w:rFonts w:ascii="Times New Roman" w:hAnsi="Times New Roman"/>
          <w:color w:val="000000" w:themeColor="text1"/>
          <w:szCs w:val="22"/>
        </w:rPr>
        <w:t>is</w:t>
      </w:r>
      <w:r w:rsidRPr="00A23EF1">
        <w:rPr>
          <w:rFonts w:ascii="Times New Roman" w:hAnsi="Times New Roman"/>
          <w:color w:val="000000" w:themeColor="text1"/>
          <w:szCs w:val="22"/>
        </w:rPr>
        <w:t xml:space="preserve"> project consists of the renovation and reconfiguration of Sandison Hall from the traditional dormitory floor plan to create double rooms with private bathrooms and individual heat and air conditioning controls. This project is part of a systematic upgrading of residence hall facilities to provide living and learning spaces that are attractive to prospective and returning students.  Sandison Hall was constructed in 1961 and is located adjacent to Hulman Memorial Student Union. The facility has received only limited upgrades and maintenance since its original construction. The renovation will also include the installation of air conditioning throughout the facility, fire suppression systems with sprinklers and alarms in each room, replacement of roof, heating systems, windows, and electrical structural repairs. The existing elevator shaft will be expanded to accommodate new larger ADA elevators. An energy wheel exhaust system will also be installed along with the technology infrastructure to support LAN and wireless capabilities.</w:t>
      </w:r>
    </w:p>
    <w:p w:rsidR="00B16026" w:rsidRPr="00A23EF1" w:rsidRDefault="00B16026">
      <w:pPr>
        <w:ind w:right="720"/>
        <w:rPr>
          <w:rFonts w:ascii="Times New Roman" w:hAnsi="Times New Roman"/>
          <w:color w:val="000000" w:themeColor="text1"/>
          <w:szCs w:val="22"/>
          <w:u w:val="single"/>
        </w:rPr>
      </w:pPr>
    </w:p>
    <w:tbl>
      <w:tblPr>
        <w:tblW w:w="0" w:type="auto"/>
        <w:tblInd w:w="205" w:type="dxa"/>
        <w:tblBorders>
          <w:top w:val="single" w:sz="4" w:space="0" w:color="auto"/>
          <w:left w:val="single" w:sz="4" w:space="0" w:color="auto"/>
          <w:bottom w:val="single" w:sz="4" w:space="0" w:color="auto"/>
          <w:right w:val="single" w:sz="4" w:space="0" w:color="auto"/>
        </w:tblBorders>
        <w:tblLayout w:type="fixed"/>
        <w:tblCellMar>
          <w:left w:w="115" w:type="dxa"/>
          <w:right w:w="115" w:type="dxa"/>
        </w:tblCellMar>
        <w:tblLook w:val="0000"/>
      </w:tblPr>
      <w:tblGrid>
        <w:gridCol w:w="5490"/>
        <w:gridCol w:w="1800"/>
        <w:gridCol w:w="1800"/>
      </w:tblGrid>
      <w:tr w:rsidR="00605DC1" w:rsidRPr="00A23EF1">
        <w:tc>
          <w:tcPr>
            <w:tcW w:w="5490" w:type="dxa"/>
          </w:tcPr>
          <w:p w:rsidR="00605DC1" w:rsidRPr="00A23EF1" w:rsidRDefault="00605DC1" w:rsidP="00B16026">
            <w:pPr>
              <w:tabs>
                <w:tab w:val="left" w:pos="3935"/>
              </w:tabs>
              <w:ind w:right="720"/>
              <w:rPr>
                <w:rFonts w:ascii="Times New Roman" w:hAnsi="Times New Roman"/>
                <w:b/>
                <w:bCs/>
                <w:color w:val="000000" w:themeColor="text1"/>
                <w:szCs w:val="22"/>
              </w:rPr>
            </w:pPr>
            <w:r w:rsidRPr="00A23EF1">
              <w:rPr>
                <w:rFonts w:ascii="Times New Roman" w:hAnsi="Times New Roman"/>
                <w:b/>
                <w:bCs/>
                <w:color w:val="000000" w:themeColor="text1"/>
                <w:szCs w:val="22"/>
              </w:rPr>
              <w:t>Project Summary:</w:t>
            </w:r>
          </w:p>
        </w:tc>
        <w:tc>
          <w:tcPr>
            <w:tcW w:w="1800" w:type="dxa"/>
          </w:tcPr>
          <w:p w:rsidR="00605DC1" w:rsidRPr="00A23EF1" w:rsidRDefault="00605DC1" w:rsidP="00B16026">
            <w:pPr>
              <w:tabs>
                <w:tab w:val="left" w:pos="3935"/>
              </w:tabs>
              <w:ind w:right="-25"/>
              <w:rPr>
                <w:rFonts w:ascii="Times New Roman" w:hAnsi="Times New Roman"/>
                <w:color w:val="000000" w:themeColor="text1"/>
                <w:szCs w:val="22"/>
                <w:u w:val="single"/>
              </w:rPr>
            </w:pPr>
          </w:p>
        </w:tc>
        <w:tc>
          <w:tcPr>
            <w:tcW w:w="1800" w:type="dxa"/>
          </w:tcPr>
          <w:p w:rsidR="00605DC1" w:rsidRPr="00A23EF1" w:rsidRDefault="00605DC1" w:rsidP="00B16026">
            <w:pPr>
              <w:tabs>
                <w:tab w:val="left" w:pos="2481"/>
                <w:tab w:val="left" w:pos="3935"/>
              </w:tabs>
              <w:ind w:right="-14"/>
              <w:rPr>
                <w:rFonts w:ascii="Times New Roman" w:hAnsi="Times New Roman"/>
                <w:color w:val="000000" w:themeColor="text1"/>
                <w:szCs w:val="22"/>
                <w:u w:val="single"/>
              </w:rPr>
            </w:pPr>
          </w:p>
        </w:tc>
      </w:tr>
      <w:tr w:rsidR="00605DC1" w:rsidRPr="00A23EF1">
        <w:tc>
          <w:tcPr>
            <w:tcW w:w="5490" w:type="dxa"/>
          </w:tcPr>
          <w:p w:rsidR="00605DC1" w:rsidRPr="00A23EF1" w:rsidRDefault="00605DC1" w:rsidP="00B16026">
            <w:pPr>
              <w:pStyle w:val="BodyText"/>
              <w:tabs>
                <w:tab w:val="left" w:pos="3935"/>
              </w:tabs>
              <w:rPr>
                <w:color w:val="000000" w:themeColor="text1"/>
                <w:szCs w:val="22"/>
              </w:rPr>
            </w:pPr>
            <w:r w:rsidRPr="00A23EF1">
              <w:rPr>
                <w:color w:val="000000" w:themeColor="text1"/>
                <w:szCs w:val="22"/>
              </w:rPr>
              <w:t>Space in Project:</w:t>
            </w:r>
          </w:p>
          <w:p w:rsidR="00605DC1" w:rsidRPr="00A23EF1" w:rsidRDefault="00605DC1" w:rsidP="00B16026">
            <w:pPr>
              <w:tabs>
                <w:tab w:val="left" w:pos="3935"/>
              </w:tabs>
              <w:ind w:right="720"/>
              <w:rPr>
                <w:rFonts w:ascii="Times New Roman" w:hAnsi="Times New Roman"/>
                <w:color w:val="000000" w:themeColor="text1"/>
                <w:szCs w:val="22"/>
              </w:rPr>
            </w:pPr>
            <w:r w:rsidRPr="00A23EF1">
              <w:rPr>
                <w:rFonts w:ascii="Times New Roman" w:hAnsi="Times New Roman"/>
                <w:color w:val="000000" w:themeColor="text1"/>
                <w:szCs w:val="22"/>
              </w:rPr>
              <w:t xml:space="preserve">     </w:t>
            </w:r>
          </w:p>
        </w:tc>
        <w:tc>
          <w:tcPr>
            <w:tcW w:w="1800" w:type="dxa"/>
          </w:tcPr>
          <w:p w:rsidR="00605DC1" w:rsidRPr="00A23EF1" w:rsidRDefault="00966340" w:rsidP="00966340">
            <w:pPr>
              <w:tabs>
                <w:tab w:val="left" w:pos="0"/>
                <w:tab w:val="left" w:pos="3935"/>
              </w:tabs>
              <w:ind w:right="-25"/>
              <w:jc w:val="right"/>
              <w:rPr>
                <w:rFonts w:ascii="Times New Roman" w:hAnsi="Times New Roman"/>
                <w:color w:val="000000" w:themeColor="text1"/>
                <w:szCs w:val="22"/>
              </w:rPr>
            </w:pPr>
            <w:r w:rsidRPr="00A23EF1">
              <w:rPr>
                <w:rFonts w:ascii="Times New Roman" w:hAnsi="Times New Roman"/>
                <w:color w:val="000000" w:themeColor="text1"/>
                <w:szCs w:val="22"/>
              </w:rPr>
              <w:t>71</w:t>
            </w:r>
            <w:r w:rsidR="00605DC1" w:rsidRPr="00A23EF1">
              <w:rPr>
                <w:rFonts w:ascii="Times New Roman" w:hAnsi="Times New Roman"/>
                <w:color w:val="000000" w:themeColor="text1"/>
                <w:szCs w:val="22"/>
              </w:rPr>
              <w:t>,</w:t>
            </w:r>
            <w:r w:rsidRPr="00A23EF1">
              <w:rPr>
                <w:rFonts w:ascii="Times New Roman" w:hAnsi="Times New Roman"/>
                <w:color w:val="000000" w:themeColor="text1"/>
                <w:szCs w:val="22"/>
              </w:rPr>
              <w:t>544</w:t>
            </w:r>
            <w:r w:rsidR="00605DC1" w:rsidRPr="00A23EF1">
              <w:rPr>
                <w:rFonts w:ascii="Times New Roman" w:hAnsi="Times New Roman"/>
                <w:color w:val="000000" w:themeColor="text1"/>
                <w:szCs w:val="22"/>
              </w:rPr>
              <w:t xml:space="preserve"> GSF</w:t>
            </w:r>
          </w:p>
        </w:tc>
        <w:tc>
          <w:tcPr>
            <w:tcW w:w="1800" w:type="dxa"/>
          </w:tcPr>
          <w:p w:rsidR="00605DC1" w:rsidRPr="00A23EF1" w:rsidRDefault="00605DC1" w:rsidP="00B16026">
            <w:pPr>
              <w:tabs>
                <w:tab w:val="left" w:pos="2481"/>
                <w:tab w:val="left" w:pos="3935"/>
              </w:tabs>
              <w:ind w:right="-14"/>
              <w:jc w:val="right"/>
              <w:rPr>
                <w:rFonts w:ascii="Times New Roman" w:hAnsi="Times New Roman"/>
                <w:color w:val="000000" w:themeColor="text1"/>
                <w:szCs w:val="22"/>
              </w:rPr>
            </w:pPr>
            <w:r w:rsidRPr="00A23EF1">
              <w:rPr>
                <w:rFonts w:ascii="Times New Roman" w:hAnsi="Times New Roman"/>
                <w:color w:val="000000" w:themeColor="text1"/>
                <w:szCs w:val="22"/>
              </w:rPr>
              <w:t>4</w:t>
            </w:r>
            <w:r w:rsidR="00966340" w:rsidRPr="00A23EF1">
              <w:rPr>
                <w:rFonts w:ascii="Times New Roman" w:hAnsi="Times New Roman"/>
                <w:color w:val="000000" w:themeColor="text1"/>
                <w:szCs w:val="22"/>
              </w:rPr>
              <w:t>0</w:t>
            </w:r>
            <w:r w:rsidRPr="00A23EF1">
              <w:rPr>
                <w:rFonts w:ascii="Times New Roman" w:hAnsi="Times New Roman"/>
                <w:color w:val="000000" w:themeColor="text1"/>
                <w:szCs w:val="22"/>
              </w:rPr>
              <w:t>,</w:t>
            </w:r>
            <w:r w:rsidR="00966340" w:rsidRPr="00A23EF1">
              <w:rPr>
                <w:rFonts w:ascii="Times New Roman" w:hAnsi="Times New Roman"/>
                <w:color w:val="000000" w:themeColor="text1"/>
                <w:szCs w:val="22"/>
              </w:rPr>
              <w:t>425</w:t>
            </w:r>
            <w:r w:rsidRPr="00A23EF1">
              <w:rPr>
                <w:rFonts w:ascii="Times New Roman" w:hAnsi="Times New Roman"/>
                <w:color w:val="000000" w:themeColor="text1"/>
                <w:szCs w:val="22"/>
              </w:rPr>
              <w:t xml:space="preserve"> ASF</w:t>
            </w:r>
          </w:p>
          <w:p w:rsidR="00605DC1" w:rsidRPr="00A23EF1" w:rsidRDefault="00605DC1" w:rsidP="00B16026">
            <w:pPr>
              <w:tabs>
                <w:tab w:val="left" w:pos="2481"/>
                <w:tab w:val="left" w:pos="3935"/>
              </w:tabs>
              <w:ind w:right="-14"/>
              <w:jc w:val="right"/>
              <w:rPr>
                <w:rFonts w:ascii="Times New Roman" w:hAnsi="Times New Roman"/>
                <w:color w:val="000000" w:themeColor="text1"/>
                <w:szCs w:val="22"/>
              </w:rPr>
            </w:pPr>
          </w:p>
        </w:tc>
      </w:tr>
      <w:tr w:rsidR="00605DC1" w:rsidRPr="00A23EF1">
        <w:tc>
          <w:tcPr>
            <w:tcW w:w="5490" w:type="dxa"/>
          </w:tcPr>
          <w:p w:rsidR="00605DC1" w:rsidRPr="00A23EF1" w:rsidRDefault="00605DC1" w:rsidP="00B16026">
            <w:pPr>
              <w:tabs>
                <w:tab w:val="left" w:pos="3935"/>
              </w:tabs>
              <w:ind w:right="720"/>
              <w:rPr>
                <w:rFonts w:ascii="Times New Roman" w:hAnsi="Times New Roman"/>
                <w:color w:val="000000" w:themeColor="text1"/>
                <w:szCs w:val="22"/>
              </w:rPr>
            </w:pPr>
            <w:r w:rsidRPr="00A23EF1">
              <w:rPr>
                <w:rFonts w:ascii="Times New Roman" w:hAnsi="Times New Roman"/>
                <w:color w:val="000000" w:themeColor="text1"/>
                <w:szCs w:val="22"/>
              </w:rPr>
              <w:t>Project Cost:</w:t>
            </w:r>
          </w:p>
          <w:p w:rsidR="00605DC1" w:rsidRPr="00A23EF1" w:rsidRDefault="00605DC1" w:rsidP="00B16026">
            <w:pPr>
              <w:tabs>
                <w:tab w:val="left" w:pos="3935"/>
              </w:tabs>
              <w:ind w:right="720"/>
              <w:rPr>
                <w:rFonts w:ascii="Times New Roman" w:hAnsi="Times New Roman"/>
                <w:color w:val="000000" w:themeColor="text1"/>
                <w:szCs w:val="22"/>
              </w:rPr>
            </w:pPr>
          </w:p>
        </w:tc>
        <w:tc>
          <w:tcPr>
            <w:tcW w:w="1800" w:type="dxa"/>
          </w:tcPr>
          <w:p w:rsidR="00605DC1" w:rsidRPr="00A23EF1" w:rsidRDefault="00605DC1" w:rsidP="00966340">
            <w:pPr>
              <w:tabs>
                <w:tab w:val="left" w:pos="3935"/>
              </w:tabs>
              <w:ind w:right="-25"/>
              <w:jc w:val="right"/>
              <w:rPr>
                <w:rFonts w:ascii="Times New Roman" w:hAnsi="Times New Roman"/>
                <w:color w:val="000000" w:themeColor="text1"/>
                <w:szCs w:val="22"/>
              </w:rPr>
            </w:pPr>
            <w:r w:rsidRPr="00A23EF1">
              <w:rPr>
                <w:rFonts w:ascii="Times New Roman" w:hAnsi="Times New Roman"/>
                <w:color w:val="000000" w:themeColor="text1"/>
                <w:szCs w:val="22"/>
              </w:rPr>
              <w:t>$</w:t>
            </w:r>
            <w:r w:rsidR="00966340" w:rsidRPr="00A23EF1">
              <w:rPr>
                <w:rFonts w:ascii="Times New Roman" w:hAnsi="Times New Roman"/>
                <w:color w:val="000000" w:themeColor="text1"/>
                <w:szCs w:val="22"/>
              </w:rPr>
              <w:t>11</w:t>
            </w:r>
            <w:r w:rsidRPr="00A23EF1">
              <w:rPr>
                <w:rFonts w:ascii="Times New Roman" w:hAnsi="Times New Roman"/>
                <w:color w:val="000000" w:themeColor="text1"/>
                <w:szCs w:val="22"/>
              </w:rPr>
              <w:t>,</w:t>
            </w:r>
            <w:r w:rsidR="00966340" w:rsidRPr="00A23EF1">
              <w:rPr>
                <w:rFonts w:ascii="Times New Roman" w:hAnsi="Times New Roman"/>
                <w:color w:val="000000" w:themeColor="text1"/>
                <w:szCs w:val="22"/>
              </w:rPr>
              <w:t>0</w:t>
            </w:r>
            <w:r w:rsidRPr="00A23EF1">
              <w:rPr>
                <w:rFonts w:ascii="Times New Roman" w:hAnsi="Times New Roman"/>
                <w:color w:val="000000" w:themeColor="text1"/>
                <w:szCs w:val="22"/>
              </w:rPr>
              <w:t>00,000</w:t>
            </w:r>
          </w:p>
        </w:tc>
        <w:tc>
          <w:tcPr>
            <w:tcW w:w="1800" w:type="dxa"/>
          </w:tcPr>
          <w:p w:rsidR="00605DC1" w:rsidRPr="00A23EF1" w:rsidRDefault="00605DC1" w:rsidP="00966340">
            <w:pPr>
              <w:tabs>
                <w:tab w:val="left" w:pos="2481"/>
                <w:tab w:val="left" w:pos="3935"/>
              </w:tabs>
              <w:ind w:right="-14"/>
              <w:jc w:val="right"/>
              <w:rPr>
                <w:rFonts w:ascii="Times New Roman" w:hAnsi="Times New Roman"/>
                <w:color w:val="000000" w:themeColor="text1"/>
                <w:szCs w:val="22"/>
              </w:rPr>
            </w:pPr>
            <w:r w:rsidRPr="00A23EF1">
              <w:rPr>
                <w:rFonts w:ascii="Times New Roman" w:hAnsi="Times New Roman"/>
                <w:color w:val="000000" w:themeColor="text1"/>
                <w:szCs w:val="22"/>
              </w:rPr>
              <w:t>$</w:t>
            </w:r>
            <w:r w:rsidR="00966340" w:rsidRPr="00A23EF1">
              <w:rPr>
                <w:rFonts w:ascii="Times New Roman" w:hAnsi="Times New Roman"/>
                <w:color w:val="000000" w:themeColor="text1"/>
                <w:szCs w:val="22"/>
              </w:rPr>
              <w:t>154</w:t>
            </w:r>
            <w:r w:rsidRPr="00A23EF1">
              <w:rPr>
                <w:rFonts w:ascii="Times New Roman" w:hAnsi="Times New Roman"/>
                <w:color w:val="000000" w:themeColor="text1"/>
                <w:szCs w:val="22"/>
              </w:rPr>
              <w:t xml:space="preserve"> per GSF</w:t>
            </w:r>
          </w:p>
        </w:tc>
      </w:tr>
      <w:tr w:rsidR="00605DC1" w:rsidRPr="00A23EF1">
        <w:tc>
          <w:tcPr>
            <w:tcW w:w="5490" w:type="dxa"/>
          </w:tcPr>
          <w:p w:rsidR="00605DC1" w:rsidRPr="00A23EF1" w:rsidRDefault="00605DC1" w:rsidP="00B16026">
            <w:pPr>
              <w:tabs>
                <w:tab w:val="left" w:pos="3935"/>
              </w:tabs>
              <w:ind w:right="720"/>
              <w:rPr>
                <w:rFonts w:ascii="Times New Roman" w:hAnsi="Times New Roman"/>
                <w:color w:val="000000" w:themeColor="text1"/>
                <w:szCs w:val="22"/>
              </w:rPr>
            </w:pPr>
            <w:r w:rsidRPr="00A23EF1">
              <w:rPr>
                <w:rFonts w:ascii="Times New Roman" w:hAnsi="Times New Roman"/>
                <w:color w:val="000000" w:themeColor="text1"/>
                <w:szCs w:val="22"/>
              </w:rPr>
              <w:t>Sources of Funds:</w:t>
            </w:r>
          </w:p>
          <w:p w:rsidR="00966340" w:rsidRPr="00A23EF1" w:rsidRDefault="00966340" w:rsidP="00966340">
            <w:pPr>
              <w:tabs>
                <w:tab w:val="left" w:pos="3935"/>
              </w:tabs>
              <w:ind w:right="720"/>
              <w:jc w:val="right"/>
              <w:rPr>
                <w:rFonts w:ascii="Times New Roman" w:hAnsi="Times New Roman"/>
                <w:color w:val="000000" w:themeColor="text1"/>
                <w:szCs w:val="22"/>
              </w:rPr>
            </w:pPr>
            <w:r w:rsidRPr="00A23EF1">
              <w:rPr>
                <w:rFonts w:ascii="Times New Roman" w:hAnsi="Times New Roman"/>
                <w:color w:val="000000" w:themeColor="text1"/>
                <w:szCs w:val="22"/>
              </w:rPr>
              <w:t>Housing and Dining Reserves</w:t>
            </w:r>
          </w:p>
          <w:p w:rsidR="00605DC1" w:rsidRPr="00A23EF1" w:rsidRDefault="00966340" w:rsidP="00966340">
            <w:pPr>
              <w:tabs>
                <w:tab w:val="left" w:pos="3935"/>
              </w:tabs>
              <w:ind w:right="720"/>
              <w:jc w:val="right"/>
              <w:rPr>
                <w:rFonts w:ascii="Times New Roman" w:hAnsi="Times New Roman"/>
                <w:color w:val="000000" w:themeColor="text1"/>
                <w:szCs w:val="22"/>
              </w:rPr>
            </w:pPr>
            <w:r w:rsidRPr="00A23EF1">
              <w:rPr>
                <w:rFonts w:ascii="Times New Roman" w:hAnsi="Times New Roman"/>
                <w:color w:val="000000" w:themeColor="text1"/>
                <w:szCs w:val="22"/>
              </w:rPr>
              <w:t>Revenue Bonds (Housing and Dining Operating)</w:t>
            </w:r>
          </w:p>
        </w:tc>
        <w:tc>
          <w:tcPr>
            <w:tcW w:w="1800" w:type="dxa"/>
          </w:tcPr>
          <w:p w:rsidR="00605DC1" w:rsidRPr="00A23EF1" w:rsidRDefault="00605DC1" w:rsidP="00B16026">
            <w:pPr>
              <w:tabs>
                <w:tab w:val="left" w:pos="3935"/>
              </w:tabs>
              <w:ind w:right="-25"/>
              <w:jc w:val="right"/>
              <w:rPr>
                <w:rFonts w:ascii="Times New Roman" w:hAnsi="Times New Roman"/>
                <w:color w:val="000000" w:themeColor="text1"/>
                <w:szCs w:val="22"/>
              </w:rPr>
            </w:pPr>
          </w:p>
        </w:tc>
        <w:tc>
          <w:tcPr>
            <w:tcW w:w="1800" w:type="dxa"/>
          </w:tcPr>
          <w:p w:rsidR="00966340" w:rsidRPr="00A23EF1" w:rsidRDefault="00966340" w:rsidP="00605DC1">
            <w:pPr>
              <w:tabs>
                <w:tab w:val="left" w:pos="2481"/>
                <w:tab w:val="left" w:pos="3935"/>
              </w:tabs>
              <w:ind w:right="-14"/>
              <w:jc w:val="right"/>
              <w:rPr>
                <w:rFonts w:ascii="Times New Roman" w:hAnsi="Times New Roman"/>
                <w:color w:val="000000" w:themeColor="text1"/>
                <w:szCs w:val="22"/>
              </w:rPr>
            </w:pPr>
          </w:p>
          <w:p w:rsidR="00605DC1" w:rsidRPr="00A23EF1" w:rsidRDefault="00966340" w:rsidP="00605DC1">
            <w:pPr>
              <w:tabs>
                <w:tab w:val="left" w:pos="2481"/>
                <w:tab w:val="left" w:pos="3935"/>
              </w:tabs>
              <w:ind w:right="-14"/>
              <w:jc w:val="right"/>
              <w:rPr>
                <w:rFonts w:ascii="Times New Roman" w:hAnsi="Times New Roman"/>
                <w:color w:val="000000" w:themeColor="text1"/>
                <w:szCs w:val="22"/>
              </w:rPr>
            </w:pPr>
            <w:r w:rsidRPr="00A23EF1">
              <w:rPr>
                <w:rFonts w:ascii="Times New Roman" w:hAnsi="Times New Roman"/>
                <w:color w:val="000000" w:themeColor="text1"/>
                <w:szCs w:val="22"/>
              </w:rPr>
              <w:t>$1,500,000</w:t>
            </w:r>
          </w:p>
          <w:p w:rsidR="00605DC1" w:rsidRPr="00A23EF1" w:rsidRDefault="00966340" w:rsidP="00B16026">
            <w:pPr>
              <w:tabs>
                <w:tab w:val="left" w:pos="2481"/>
                <w:tab w:val="left" w:pos="3935"/>
              </w:tabs>
              <w:ind w:right="-14"/>
              <w:jc w:val="right"/>
              <w:rPr>
                <w:rFonts w:ascii="Times New Roman" w:hAnsi="Times New Roman"/>
                <w:color w:val="000000" w:themeColor="text1"/>
                <w:szCs w:val="22"/>
                <w:u w:val="single"/>
              </w:rPr>
            </w:pPr>
            <w:r w:rsidRPr="00A23EF1">
              <w:rPr>
                <w:rFonts w:ascii="Times New Roman" w:hAnsi="Times New Roman"/>
                <w:color w:val="000000" w:themeColor="text1"/>
                <w:szCs w:val="22"/>
                <w:u w:val="single"/>
              </w:rPr>
              <w:t>$9,500,000</w:t>
            </w:r>
          </w:p>
        </w:tc>
      </w:tr>
      <w:tr w:rsidR="00605DC1" w:rsidRPr="00A23EF1">
        <w:tc>
          <w:tcPr>
            <w:tcW w:w="5490" w:type="dxa"/>
          </w:tcPr>
          <w:p w:rsidR="00966340" w:rsidRPr="00A23EF1" w:rsidRDefault="00966340" w:rsidP="00966340">
            <w:pPr>
              <w:tabs>
                <w:tab w:val="left" w:pos="3935"/>
              </w:tabs>
              <w:ind w:right="-122"/>
              <w:jc w:val="right"/>
              <w:rPr>
                <w:rFonts w:ascii="Times New Roman" w:hAnsi="Times New Roman"/>
                <w:color w:val="000000" w:themeColor="text1"/>
                <w:szCs w:val="22"/>
              </w:rPr>
            </w:pPr>
          </w:p>
          <w:p w:rsidR="00966340" w:rsidRPr="00A23EF1" w:rsidRDefault="00966340" w:rsidP="003E6721">
            <w:pPr>
              <w:tabs>
                <w:tab w:val="left" w:pos="3935"/>
              </w:tabs>
              <w:ind w:right="-122"/>
              <w:rPr>
                <w:rFonts w:ascii="Times New Roman" w:hAnsi="Times New Roman"/>
                <w:color w:val="000000" w:themeColor="text1"/>
                <w:szCs w:val="22"/>
              </w:rPr>
            </w:pPr>
          </w:p>
          <w:p w:rsidR="00605DC1" w:rsidRPr="00A23EF1" w:rsidRDefault="00605DC1" w:rsidP="003E6721">
            <w:pPr>
              <w:tabs>
                <w:tab w:val="left" w:pos="3935"/>
              </w:tabs>
              <w:ind w:right="-122"/>
              <w:rPr>
                <w:rFonts w:ascii="Times New Roman" w:hAnsi="Times New Roman"/>
                <w:color w:val="000000" w:themeColor="text1"/>
                <w:szCs w:val="22"/>
              </w:rPr>
            </w:pPr>
            <w:r w:rsidRPr="00A23EF1">
              <w:rPr>
                <w:rFonts w:ascii="Times New Roman" w:hAnsi="Times New Roman"/>
                <w:color w:val="000000" w:themeColor="text1"/>
                <w:szCs w:val="22"/>
              </w:rPr>
              <w:t>Expected Increase in Operating Costs:</w:t>
            </w:r>
            <w:r w:rsidR="00966340" w:rsidRPr="00A23EF1">
              <w:rPr>
                <w:rFonts w:ascii="Times New Roman" w:hAnsi="Times New Roman"/>
                <w:color w:val="000000" w:themeColor="text1"/>
                <w:szCs w:val="22"/>
              </w:rPr>
              <w:t xml:space="preserve"> N/A</w:t>
            </w:r>
          </w:p>
          <w:p w:rsidR="00605DC1" w:rsidRPr="00A23EF1" w:rsidRDefault="00605DC1" w:rsidP="00B16026">
            <w:pPr>
              <w:tabs>
                <w:tab w:val="left" w:pos="3935"/>
              </w:tabs>
              <w:ind w:right="-122"/>
              <w:rPr>
                <w:rFonts w:ascii="Times New Roman" w:hAnsi="Times New Roman"/>
                <w:color w:val="000000" w:themeColor="text1"/>
                <w:szCs w:val="22"/>
              </w:rPr>
            </w:pPr>
          </w:p>
        </w:tc>
        <w:tc>
          <w:tcPr>
            <w:tcW w:w="1800" w:type="dxa"/>
          </w:tcPr>
          <w:p w:rsidR="00605DC1" w:rsidRPr="00A23EF1" w:rsidRDefault="00605DC1" w:rsidP="00B16026">
            <w:pPr>
              <w:tabs>
                <w:tab w:val="left" w:pos="3935"/>
              </w:tabs>
              <w:ind w:right="-25"/>
              <w:jc w:val="right"/>
              <w:rPr>
                <w:rFonts w:ascii="Times New Roman" w:hAnsi="Times New Roman"/>
                <w:color w:val="000000" w:themeColor="text1"/>
                <w:szCs w:val="22"/>
              </w:rPr>
            </w:pPr>
          </w:p>
        </w:tc>
        <w:tc>
          <w:tcPr>
            <w:tcW w:w="1800" w:type="dxa"/>
          </w:tcPr>
          <w:p w:rsidR="00605DC1" w:rsidRPr="00A23EF1" w:rsidRDefault="00966340" w:rsidP="00B16026">
            <w:pPr>
              <w:tabs>
                <w:tab w:val="left" w:pos="2481"/>
                <w:tab w:val="left" w:pos="3935"/>
              </w:tabs>
              <w:ind w:right="-14"/>
              <w:jc w:val="right"/>
              <w:rPr>
                <w:rFonts w:ascii="Times New Roman" w:hAnsi="Times New Roman"/>
                <w:color w:val="000000" w:themeColor="text1"/>
                <w:szCs w:val="22"/>
              </w:rPr>
            </w:pPr>
            <w:r w:rsidRPr="00A23EF1">
              <w:rPr>
                <w:rFonts w:ascii="Times New Roman" w:hAnsi="Times New Roman"/>
                <w:color w:val="000000" w:themeColor="text1"/>
                <w:szCs w:val="22"/>
              </w:rPr>
              <w:t>$11,000,000</w:t>
            </w:r>
          </w:p>
        </w:tc>
      </w:tr>
    </w:tbl>
    <w:p w:rsidR="00605DC1" w:rsidRPr="00A23EF1" w:rsidRDefault="00605DC1">
      <w:pPr>
        <w:ind w:right="720"/>
        <w:rPr>
          <w:rFonts w:ascii="Times New Roman" w:hAnsi="Times New Roman"/>
          <w:color w:val="000000" w:themeColor="text1"/>
          <w:szCs w:val="22"/>
          <w:u w:val="single"/>
        </w:rPr>
      </w:pPr>
    </w:p>
    <w:p w:rsidR="004F79EA" w:rsidRPr="00A23EF1" w:rsidRDefault="00F62DA7">
      <w:pPr>
        <w:ind w:right="720"/>
        <w:rPr>
          <w:rFonts w:ascii="Times New Roman" w:hAnsi="Times New Roman"/>
          <w:color w:val="000000" w:themeColor="text1"/>
          <w:szCs w:val="22"/>
        </w:rPr>
      </w:pPr>
      <w:r>
        <w:rPr>
          <w:rFonts w:ascii="Times New Roman" w:hAnsi="Times New Roman"/>
          <w:color w:val="000000" w:themeColor="text1"/>
          <w:szCs w:val="22"/>
        </w:rPr>
        <w:br w:type="page"/>
      </w:r>
      <w:r w:rsidR="004F79EA" w:rsidRPr="00A23EF1">
        <w:rPr>
          <w:rFonts w:ascii="Times New Roman" w:hAnsi="Times New Roman"/>
          <w:color w:val="000000" w:themeColor="text1"/>
          <w:szCs w:val="22"/>
        </w:rPr>
        <w:lastRenderedPageBreak/>
        <w:t>The University anticipates that the projected will be completed in July 20</w:t>
      </w:r>
      <w:r w:rsidR="001526C1" w:rsidRPr="00A23EF1">
        <w:rPr>
          <w:rFonts w:ascii="Times New Roman" w:hAnsi="Times New Roman"/>
          <w:color w:val="000000" w:themeColor="text1"/>
          <w:szCs w:val="22"/>
        </w:rPr>
        <w:t>10</w:t>
      </w:r>
      <w:r w:rsidR="004F79EA" w:rsidRPr="00A23EF1">
        <w:rPr>
          <w:rFonts w:ascii="Times New Roman" w:hAnsi="Times New Roman"/>
          <w:color w:val="000000" w:themeColor="text1"/>
          <w:szCs w:val="22"/>
        </w:rPr>
        <w:t>.</w:t>
      </w:r>
    </w:p>
    <w:p w:rsidR="004F79EA" w:rsidRPr="00A23EF1" w:rsidRDefault="004F79EA">
      <w:pPr>
        <w:ind w:right="720"/>
        <w:rPr>
          <w:rFonts w:ascii="Times New Roman" w:hAnsi="Times New Roman"/>
          <w:color w:val="000000" w:themeColor="text1"/>
          <w:szCs w:val="22"/>
          <w:u w:val="single"/>
        </w:rPr>
      </w:pPr>
    </w:p>
    <w:p w:rsidR="0073587A" w:rsidRPr="00A23EF1" w:rsidRDefault="0073587A" w:rsidP="0073587A">
      <w:pPr>
        <w:autoSpaceDE w:val="0"/>
        <w:autoSpaceDN w:val="0"/>
        <w:adjustRightInd w:val="0"/>
        <w:rPr>
          <w:rFonts w:ascii="Times New Roman" w:hAnsi="Times New Roman"/>
          <w:color w:val="000000" w:themeColor="text1"/>
          <w:sz w:val="23"/>
          <w:szCs w:val="23"/>
        </w:rPr>
      </w:pPr>
      <w:r w:rsidRPr="00A23EF1">
        <w:rPr>
          <w:rFonts w:ascii="Times New Roman" w:hAnsi="Times New Roman"/>
          <w:color w:val="000000" w:themeColor="text1"/>
          <w:sz w:val="23"/>
          <w:szCs w:val="23"/>
          <w:u w:val="single"/>
        </w:rPr>
        <w:t>RELATIONSHIP TO MISSION AND LONG-RANGE PLANNING</w:t>
      </w:r>
      <w:r w:rsidRPr="00A23EF1">
        <w:rPr>
          <w:rFonts w:ascii="Times New Roman" w:hAnsi="Times New Roman"/>
          <w:color w:val="000000" w:themeColor="text1"/>
          <w:sz w:val="23"/>
          <w:szCs w:val="23"/>
        </w:rPr>
        <w:t>:</w:t>
      </w:r>
    </w:p>
    <w:p w:rsidR="0073587A" w:rsidRPr="00A23EF1" w:rsidRDefault="0073587A" w:rsidP="0073587A">
      <w:pPr>
        <w:autoSpaceDE w:val="0"/>
        <w:autoSpaceDN w:val="0"/>
        <w:adjustRightInd w:val="0"/>
        <w:rPr>
          <w:rFonts w:ascii="Times New Roman" w:hAnsi="Times New Roman"/>
          <w:color w:val="000000" w:themeColor="text1"/>
          <w:sz w:val="23"/>
          <w:szCs w:val="23"/>
        </w:rPr>
      </w:pPr>
    </w:p>
    <w:p w:rsidR="0073587A" w:rsidRPr="00A23EF1" w:rsidRDefault="0073587A" w:rsidP="0073587A">
      <w:pPr>
        <w:autoSpaceDE w:val="0"/>
        <w:autoSpaceDN w:val="0"/>
        <w:adjustRightInd w:val="0"/>
        <w:rPr>
          <w:rFonts w:ascii="Times New Roman" w:hAnsi="Times New Roman"/>
          <w:color w:val="000000" w:themeColor="text1"/>
          <w:sz w:val="23"/>
          <w:szCs w:val="23"/>
        </w:rPr>
      </w:pPr>
      <w:r w:rsidRPr="00A23EF1">
        <w:rPr>
          <w:rFonts w:ascii="Times New Roman" w:hAnsi="Times New Roman"/>
          <w:color w:val="000000" w:themeColor="text1"/>
          <w:sz w:val="23"/>
          <w:szCs w:val="23"/>
        </w:rPr>
        <w:t>This project is a part of a systematic renovation of all residence halls and is consistent with Indiana State University's mission as a four year residential campus.</w:t>
      </w:r>
    </w:p>
    <w:p w:rsidR="0073587A" w:rsidRPr="00A23EF1" w:rsidRDefault="0073587A" w:rsidP="0073587A">
      <w:pPr>
        <w:autoSpaceDE w:val="0"/>
        <w:autoSpaceDN w:val="0"/>
        <w:adjustRightInd w:val="0"/>
        <w:rPr>
          <w:rFonts w:ascii="Times New Roman" w:hAnsi="Times New Roman"/>
          <w:color w:val="000000" w:themeColor="text1"/>
          <w:sz w:val="23"/>
          <w:szCs w:val="23"/>
        </w:rPr>
      </w:pPr>
    </w:p>
    <w:p w:rsidR="0073587A" w:rsidRPr="00A23EF1" w:rsidRDefault="0073587A" w:rsidP="0073587A">
      <w:pPr>
        <w:autoSpaceDE w:val="0"/>
        <w:autoSpaceDN w:val="0"/>
        <w:adjustRightInd w:val="0"/>
        <w:rPr>
          <w:rFonts w:ascii="Times New Roman" w:hAnsi="Times New Roman"/>
          <w:color w:val="000000" w:themeColor="text1"/>
          <w:sz w:val="23"/>
          <w:szCs w:val="23"/>
        </w:rPr>
      </w:pPr>
      <w:r w:rsidRPr="00A23EF1">
        <w:rPr>
          <w:rFonts w:ascii="Times New Roman" w:hAnsi="Times New Roman"/>
          <w:color w:val="000000" w:themeColor="text1"/>
          <w:sz w:val="23"/>
          <w:szCs w:val="23"/>
          <w:u w:val="single"/>
        </w:rPr>
        <w:t>NEED AND EXPECTED CONTRIBUTION TO EDUCATIONAL SERVICES</w:t>
      </w:r>
      <w:r w:rsidRPr="00A23EF1">
        <w:rPr>
          <w:rFonts w:ascii="Times New Roman" w:hAnsi="Times New Roman"/>
          <w:color w:val="000000" w:themeColor="text1"/>
          <w:sz w:val="23"/>
          <w:szCs w:val="23"/>
        </w:rPr>
        <w:t>:</w:t>
      </w:r>
    </w:p>
    <w:p w:rsidR="0073587A" w:rsidRPr="00A23EF1" w:rsidRDefault="0073587A" w:rsidP="0073587A">
      <w:pPr>
        <w:autoSpaceDE w:val="0"/>
        <w:autoSpaceDN w:val="0"/>
        <w:adjustRightInd w:val="0"/>
        <w:rPr>
          <w:rFonts w:ascii="Times New Roman" w:hAnsi="Times New Roman"/>
          <w:color w:val="000000" w:themeColor="text1"/>
          <w:sz w:val="23"/>
          <w:szCs w:val="23"/>
        </w:rPr>
      </w:pPr>
    </w:p>
    <w:p w:rsidR="0073587A" w:rsidRPr="00A23EF1" w:rsidRDefault="0073587A" w:rsidP="0073587A">
      <w:pPr>
        <w:autoSpaceDE w:val="0"/>
        <w:autoSpaceDN w:val="0"/>
        <w:adjustRightInd w:val="0"/>
        <w:rPr>
          <w:rFonts w:ascii="Times New Roman" w:hAnsi="Times New Roman"/>
          <w:color w:val="000000" w:themeColor="text1"/>
          <w:szCs w:val="22"/>
          <w:u w:val="single"/>
        </w:rPr>
      </w:pPr>
      <w:r w:rsidRPr="00A23EF1">
        <w:rPr>
          <w:rFonts w:ascii="Times New Roman" w:hAnsi="Times New Roman"/>
          <w:color w:val="000000" w:themeColor="text1"/>
          <w:sz w:val="23"/>
          <w:szCs w:val="23"/>
        </w:rPr>
        <w:t>Sandison Hall, constructed in 1961, is located adjacent to Hulman Memorial Student Union. The dormitory has received only limited upgrades and maintenance since original construction. The proposed renovation of Sandison Hall will provide for a reconfiguration of interior space to accommodate double rooms with private baths and individual heat and air conditioning controls in order to meet the needs of students and create an atmosphere conducive to living and learning.</w:t>
      </w:r>
    </w:p>
    <w:p w:rsidR="0073587A" w:rsidRPr="00A23EF1" w:rsidRDefault="0073587A">
      <w:pPr>
        <w:ind w:right="720"/>
        <w:rPr>
          <w:rFonts w:ascii="Times New Roman" w:hAnsi="Times New Roman"/>
          <w:color w:val="000000" w:themeColor="text1"/>
          <w:szCs w:val="22"/>
          <w:u w:val="single"/>
        </w:rPr>
      </w:pPr>
    </w:p>
    <w:p w:rsidR="00802D38" w:rsidRPr="00A23EF1" w:rsidRDefault="00802D38">
      <w:pPr>
        <w:ind w:right="720"/>
        <w:rPr>
          <w:rFonts w:ascii="Times New Roman" w:hAnsi="Times New Roman"/>
          <w:color w:val="000000" w:themeColor="text1"/>
          <w:szCs w:val="22"/>
          <w:u w:val="single"/>
        </w:rPr>
      </w:pPr>
      <w:r w:rsidRPr="00A23EF1">
        <w:rPr>
          <w:rFonts w:ascii="Times New Roman" w:hAnsi="Times New Roman"/>
          <w:color w:val="000000" w:themeColor="text1"/>
          <w:szCs w:val="22"/>
          <w:u w:val="single"/>
        </w:rPr>
        <w:t>RELATIONSHIP TO LONG-RANGE FACILITY PLANS:</w:t>
      </w:r>
    </w:p>
    <w:p w:rsidR="00802D38" w:rsidRPr="00A23EF1" w:rsidRDefault="00802D38">
      <w:pPr>
        <w:ind w:right="720"/>
        <w:rPr>
          <w:rFonts w:ascii="Times New Roman" w:hAnsi="Times New Roman"/>
          <w:color w:val="000000" w:themeColor="text1"/>
          <w:szCs w:val="22"/>
        </w:rPr>
      </w:pPr>
    </w:p>
    <w:p w:rsidR="00802D38" w:rsidRPr="00A23EF1" w:rsidRDefault="00802D38">
      <w:pPr>
        <w:ind w:right="720"/>
        <w:rPr>
          <w:rFonts w:ascii="Times New Roman" w:hAnsi="Times New Roman"/>
          <w:color w:val="000000" w:themeColor="text1"/>
          <w:szCs w:val="22"/>
        </w:rPr>
      </w:pPr>
      <w:r w:rsidRPr="00A23EF1">
        <w:rPr>
          <w:rFonts w:ascii="Times New Roman" w:hAnsi="Times New Roman"/>
          <w:color w:val="000000" w:themeColor="text1"/>
          <w:szCs w:val="22"/>
        </w:rPr>
        <w:t>This project is a continuation of the Indiana State University’s desire to provide well-maintained, up-to-date accessible residence hall facilities.</w:t>
      </w:r>
      <w:r w:rsidR="00DE0315" w:rsidRPr="00A23EF1">
        <w:rPr>
          <w:rFonts w:ascii="Times New Roman" w:hAnsi="Times New Roman"/>
          <w:color w:val="000000" w:themeColor="text1"/>
          <w:szCs w:val="22"/>
        </w:rPr>
        <w:t xml:space="preserve">  Indiana State is in the process of undertaking a long-term </w:t>
      </w:r>
      <w:r w:rsidR="00A23EF1" w:rsidRPr="00A23EF1">
        <w:rPr>
          <w:rFonts w:ascii="Times New Roman" w:hAnsi="Times New Roman"/>
          <w:color w:val="000000" w:themeColor="text1"/>
          <w:szCs w:val="22"/>
        </w:rPr>
        <w:t>campus-wide Land Use Plan</w:t>
      </w:r>
      <w:r w:rsidR="00DE0315" w:rsidRPr="00A23EF1">
        <w:rPr>
          <w:rFonts w:ascii="Times New Roman" w:hAnsi="Times New Roman"/>
          <w:color w:val="000000" w:themeColor="text1"/>
          <w:szCs w:val="22"/>
        </w:rPr>
        <w:t xml:space="preserve"> for the campus.</w:t>
      </w:r>
    </w:p>
    <w:p w:rsidR="006F78C7" w:rsidRPr="00A23EF1" w:rsidRDefault="006F78C7">
      <w:pPr>
        <w:ind w:right="720"/>
        <w:rPr>
          <w:rFonts w:ascii="Times New Roman" w:hAnsi="Times New Roman"/>
          <w:color w:val="000000" w:themeColor="text1"/>
          <w:szCs w:val="22"/>
        </w:rPr>
      </w:pPr>
    </w:p>
    <w:p w:rsidR="00B16026" w:rsidRPr="00A23EF1" w:rsidRDefault="00B16026">
      <w:pPr>
        <w:pStyle w:val="Heading4"/>
        <w:rPr>
          <w:color w:val="000000" w:themeColor="text1"/>
          <w:szCs w:val="22"/>
        </w:rPr>
      </w:pPr>
      <w:r w:rsidRPr="00A23EF1">
        <w:rPr>
          <w:color w:val="000000" w:themeColor="text1"/>
          <w:szCs w:val="22"/>
        </w:rPr>
        <w:t>STAFF ANALYSIS</w:t>
      </w:r>
    </w:p>
    <w:p w:rsidR="006A0EEA" w:rsidRPr="00A23EF1" w:rsidRDefault="006A0EEA" w:rsidP="006A0EEA">
      <w:pPr>
        <w:rPr>
          <w:rFonts w:ascii="Times New Roman" w:hAnsi="Times New Roman"/>
          <w:color w:val="000000" w:themeColor="text1"/>
          <w:szCs w:val="22"/>
        </w:rPr>
      </w:pPr>
    </w:p>
    <w:p w:rsidR="00333D11" w:rsidRPr="00A23EF1" w:rsidRDefault="00DE0315" w:rsidP="00333D11">
      <w:pPr>
        <w:numPr>
          <w:ilvl w:val="0"/>
          <w:numId w:val="1"/>
        </w:numPr>
        <w:rPr>
          <w:rFonts w:ascii="Times New Roman" w:hAnsi="Times New Roman"/>
          <w:color w:val="000000" w:themeColor="text1"/>
          <w:szCs w:val="22"/>
        </w:rPr>
      </w:pPr>
      <w:r w:rsidRPr="00A23EF1">
        <w:rPr>
          <w:rFonts w:ascii="Times New Roman" w:hAnsi="Times New Roman"/>
          <w:color w:val="000000" w:themeColor="text1"/>
          <w:szCs w:val="22"/>
        </w:rPr>
        <w:t xml:space="preserve">Sandison Hall is part of a systemic renovation of residence halls on the Indiana State University campus.  </w:t>
      </w:r>
      <w:r w:rsidR="00B11C9A" w:rsidRPr="00A23EF1">
        <w:rPr>
          <w:rFonts w:ascii="Times New Roman" w:hAnsi="Times New Roman"/>
          <w:color w:val="000000" w:themeColor="text1"/>
          <w:szCs w:val="22"/>
        </w:rPr>
        <w:t xml:space="preserve">In 1998-99, Indiana State University renovated Hines Residence Hall, and Jones Residence Hall was renovated in 2000-01.  </w:t>
      </w:r>
      <w:r w:rsidRPr="00A23EF1">
        <w:rPr>
          <w:rFonts w:ascii="Times New Roman" w:hAnsi="Times New Roman"/>
          <w:color w:val="000000" w:themeColor="text1"/>
          <w:szCs w:val="22"/>
        </w:rPr>
        <w:t>In 2005-06, t</w:t>
      </w:r>
      <w:r w:rsidR="00B11C9A" w:rsidRPr="00A23EF1">
        <w:rPr>
          <w:rFonts w:ascii="Times New Roman" w:hAnsi="Times New Roman"/>
          <w:color w:val="000000" w:themeColor="text1"/>
          <w:szCs w:val="22"/>
        </w:rPr>
        <w:t xml:space="preserve">he University </w:t>
      </w:r>
      <w:r w:rsidRPr="00A23EF1">
        <w:rPr>
          <w:rFonts w:ascii="Times New Roman" w:hAnsi="Times New Roman"/>
          <w:color w:val="000000" w:themeColor="text1"/>
          <w:szCs w:val="22"/>
        </w:rPr>
        <w:t>renovated</w:t>
      </w:r>
      <w:r w:rsidR="00B11C9A" w:rsidRPr="00A23EF1">
        <w:rPr>
          <w:rFonts w:ascii="Times New Roman" w:hAnsi="Times New Roman"/>
          <w:color w:val="000000" w:themeColor="text1"/>
          <w:szCs w:val="22"/>
        </w:rPr>
        <w:t xml:space="preserve"> </w:t>
      </w:r>
      <w:proofErr w:type="spellStart"/>
      <w:r w:rsidR="00B11C9A" w:rsidRPr="00A23EF1">
        <w:rPr>
          <w:rFonts w:ascii="Times New Roman" w:hAnsi="Times New Roman"/>
          <w:color w:val="000000" w:themeColor="text1"/>
          <w:szCs w:val="22"/>
        </w:rPr>
        <w:t>Burford</w:t>
      </w:r>
      <w:proofErr w:type="spellEnd"/>
      <w:r w:rsidR="00B11C9A" w:rsidRPr="00A23EF1">
        <w:rPr>
          <w:rFonts w:ascii="Times New Roman" w:hAnsi="Times New Roman"/>
          <w:color w:val="000000" w:themeColor="text1"/>
          <w:szCs w:val="22"/>
        </w:rPr>
        <w:t xml:space="preserve"> </w:t>
      </w:r>
      <w:r w:rsidRPr="00A23EF1">
        <w:rPr>
          <w:rFonts w:ascii="Times New Roman" w:hAnsi="Times New Roman"/>
          <w:color w:val="000000" w:themeColor="text1"/>
          <w:szCs w:val="22"/>
        </w:rPr>
        <w:t xml:space="preserve">residence Hall. </w:t>
      </w:r>
      <w:r w:rsidR="00A23EF1">
        <w:rPr>
          <w:rFonts w:ascii="Times New Roman" w:hAnsi="Times New Roman"/>
          <w:color w:val="000000" w:themeColor="text1"/>
          <w:szCs w:val="22"/>
        </w:rPr>
        <w:t xml:space="preserve"> </w:t>
      </w:r>
    </w:p>
    <w:p w:rsidR="001526C1" w:rsidRPr="00A23EF1" w:rsidRDefault="001526C1" w:rsidP="001526C1">
      <w:pPr>
        <w:ind w:left="1080"/>
        <w:rPr>
          <w:rFonts w:ascii="Times New Roman" w:hAnsi="Times New Roman"/>
          <w:color w:val="000000" w:themeColor="text1"/>
          <w:szCs w:val="22"/>
        </w:rPr>
      </w:pPr>
    </w:p>
    <w:p w:rsidR="00333D11" w:rsidRPr="00A23EF1" w:rsidRDefault="00333D11" w:rsidP="004F79EA">
      <w:pPr>
        <w:numPr>
          <w:ilvl w:val="0"/>
          <w:numId w:val="1"/>
        </w:numPr>
        <w:rPr>
          <w:rFonts w:ascii="Times New Roman" w:hAnsi="Times New Roman"/>
          <w:color w:val="000000" w:themeColor="text1"/>
          <w:szCs w:val="22"/>
        </w:rPr>
      </w:pPr>
      <w:r w:rsidRPr="00A23EF1">
        <w:rPr>
          <w:rFonts w:ascii="Times New Roman" w:hAnsi="Times New Roman"/>
          <w:color w:val="000000" w:themeColor="text1"/>
          <w:szCs w:val="22"/>
        </w:rPr>
        <w:t xml:space="preserve">ISU is undertaking a </w:t>
      </w:r>
      <w:r w:rsidR="00B63123" w:rsidRPr="00A23EF1">
        <w:rPr>
          <w:rFonts w:ascii="Times New Roman" w:hAnsi="Times New Roman"/>
          <w:color w:val="000000" w:themeColor="text1"/>
          <w:szCs w:val="22"/>
        </w:rPr>
        <w:t xml:space="preserve">comprehensive campus-wide </w:t>
      </w:r>
      <w:r w:rsidR="001526C1" w:rsidRPr="00A23EF1">
        <w:rPr>
          <w:rFonts w:ascii="Times New Roman" w:hAnsi="Times New Roman"/>
          <w:color w:val="000000" w:themeColor="text1"/>
          <w:szCs w:val="22"/>
        </w:rPr>
        <w:t>Land Use Plan with Ratio Architect</w:t>
      </w:r>
      <w:r w:rsidR="00B63123" w:rsidRPr="00A23EF1">
        <w:rPr>
          <w:rFonts w:ascii="Times New Roman" w:hAnsi="Times New Roman"/>
          <w:color w:val="000000" w:themeColor="text1"/>
          <w:szCs w:val="22"/>
        </w:rPr>
        <w:t>s</w:t>
      </w:r>
      <w:r w:rsidR="001526C1" w:rsidRPr="00A23EF1">
        <w:rPr>
          <w:rFonts w:ascii="Times New Roman" w:hAnsi="Times New Roman"/>
          <w:color w:val="000000" w:themeColor="text1"/>
          <w:szCs w:val="22"/>
        </w:rPr>
        <w:t xml:space="preserve">.  </w:t>
      </w:r>
      <w:r w:rsidR="00966340" w:rsidRPr="00A23EF1">
        <w:rPr>
          <w:rFonts w:ascii="Times New Roman" w:hAnsi="Times New Roman"/>
          <w:color w:val="000000" w:themeColor="text1"/>
          <w:szCs w:val="22"/>
        </w:rPr>
        <w:t>The Plan is expected to be c</w:t>
      </w:r>
      <w:r w:rsidR="001526C1" w:rsidRPr="00A23EF1">
        <w:rPr>
          <w:rFonts w:ascii="Times New Roman" w:hAnsi="Times New Roman"/>
          <w:color w:val="000000" w:themeColor="text1"/>
          <w:szCs w:val="22"/>
        </w:rPr>
        <w:t xml:space="preserve">ompleted in September </w:t>
      </w:r>
      <w:r w:rsidR="00966340" w:rsidRPr="00A23EF1">
        <w:rPr>
          <w:rFonts w:ascii="Times New Roman" w:hAnsi="Times New Roman"/>
          <w:color w:val="000000" w:themeColor="text1"/>
          <w:szCs w:val="22"/>
        </w:rPr>
        <w:t xml:space="preserve">of </w:t>
      </w:r>
      <w:r w:rsidR="001526C1" w:rsidRPr="00A23EF1">
        <w:rPr>
          <w:rFonts w:ascii="Times New Roman" w:hAnsi="Times New Roman"/>
          <w:color w:val="000000" w:themeColor="text1"/>
          <w:szCs w:val="22"/>
        </w:rPr>
        <w:t>2009.</w:t>
      </w:r>
    </w:p>
    <w:p w:rsidR="00391074" w:rsidRPr="00A23EF1" w:rsidRDefault="00391074" w:rsidP="00391074">
      <w:pPr>
        <w:ind w:left="360"/>
        <w:rPr>
          <w:rFonts w:ascii="Times New Roman" w:hAnsi="Times New Roman"/>
          <w:color w:val="000000" w:themeColor="text1"/>
          <w:szCs w:val="22"/>
        </w:rPr>
      </w:pPr>
    </w:p>
    <w:p w:rsidR="00391074" w:rsidRPr="00A23EF1" w:rsidRDefault="00DE0315" w:rsidP="004F79EA">
      <w:pPr>
        <w:numPr>
          <w:ilvl w:val="0"/>
          <w:numId w:val="1"/>
        </w:numPr>
        <w:rPr>
          <w:rFonts w:ascii="Times New Roman" w:hAnsi="Times New Roman"/>
          <w:color w:val="000000" w:themeColor="text1"/>
          <w:szCs w:val="22"/>
        </w:rPr>
      </w:pPr>
      <w:r w:rsidRPr="00A23EF1">
        <w:rPr>
          <w:rFonts w:ascii="Times New Roman" w:hAnsi="Times New Roman"/>
          <w:color w:val="000000" w:themeColor="text1"/>
          <w:szCs w:val="22"/>
        </w:rPr>
        <w:t xml:space="preserve">Sandison Hall, which is located adjacent to the Hulman Student Union in the heart of campus, has been unoccupied since the </w:t>
      </w:r>
      <w:proofErr w:type="gramStart"/>
      <w:r w:rsidRPr="00A23EF1">
        <w:rPr>
          <w:rFonts w:ascii="Times New Roman" w:hAnsi="Times New Roman"/>
          <w:color w:val="000000" w:themeColor="text1"/>
          <w:szCs w:val="22"/>
        </w:rPr>
        <w:t>mid-1990’s</w:t>
      </w:r>
      <w:proofErr w:type="gramEnd"/>
      <w:r w:rsidRPr="00A23EF1">
        <w:rPr>
          <w:rFonts w:ascii="Times New Roman" w:hAnsi="Times New Roman"/>
          <w:color w:val="000000" w:themeColor="text1"/>
          <w:szCs w:val="22"/>
        </w:rPr>
        <w:t xml:space="preserve">.  </w:t>
      </w:r>
      <w:r w:rsidR="00D67CB0" w:rsidRPr="00A23EF1">
        <w:rPr>
          <w:rFonts w:ascii="Times New Roman" w:hAnsi="Times New Roman"/>
          <w:color w:val="000000" w:themeColor="text1"/>
          <w:szCs w:val="22"/>
        </w:rPr>
        <w:t>Currently, about 33% of campus enrollment lives</w:t>
      </w:r>
      <w:r w:rsidR="00023146" w:rsidRPr="00A23EF1">
        <w:rPr>
          <w:rFonts w:ascii="Times New Roman" w:hAnsi="Times New Roman"/>
          <w:color w:val="000000" w:themeColor="text1"/>
          <w:szCs w:val="22"/>
        </w:rPr>
        <w:t xml:space="preserve"> in residence halls.  While number of students living in residence halls has declined, the percentage of students living in residence halls has remained fairly constant at the University.</w:t>
      </w:r>
      <w:r w:rsidR="00D67CB0" w:rsidRPr="00A23EF1">
        <w:rPr>
          <w:rFonts w:ascii="Times New Roman" w:hAnsi="Times New Roman"/>
          <w:color w:val="000000" w:themeColor="text1"/>
          <w:szCs w:val="22"/>
        </w:rPr>
        <w:t xml:space="preserve"> </w:t>
      </w:r>
      <w:r w:rsidRPr="00A23EF1">
        <w:rPr>
          <w:rFonts w:ascii="Times New Roman" w:hAnsi="Times New Roman"/>
          <w:color w:val="000000" w:themeColor="text1"/>
          <w:szCs w:val="22"/>
        </w:rPr>
        <w:t xml:space="preserve">  </w:t>
      </w:r>
    </w:p>
    <w:p w:rsidR="00391074" w:rsidRPr="00A23EF1" w:rsidRDefault="00391074" w:rsidP="00391074">
      <w:pPr>
        <w:rPr>
          <w:rFonts w:ascii="Times New Roman" w:hAnsi="Times New Roman"/>
          <w:color w:val="000000" w:themeColor="text1"/>
          <w:szCs w:val="22"/>
        </w:rPr>
      </w:pPr>
    </w:p>
    <w:p w:rsidR="00A23EF1" w:rsidRPr="00A23EF1" w:rsidRDefault="00A23EF1" w:rsidP="00A23EF1">
      <w:pPr>
        <w:numPr>
          <w:ilvl w:val="0"/>
          <w:numId w:val="1"/>
        </w:numPr>
        <w:rPr>
          <w:rFonts w:ascii="Times New Roman" w:hAnsi="Times New Roman"/>
          <w:color w:val="000000" w:themeColor="text1"/>
          <w:szCs w:val="22"/>
        </w:rPr>
      </w:pPr>
      <w:r w:rsidRPr="00A23EF1">
        <w:rPr>
          <w:rFonts w:ascii="Times New Roman" w:hAnsi="Times New Roman"/>
          <w:color w:val="000000" w:themeColor="text1"/>
          <w:szCs w:val="22"/>
        </w:rPr>
        <w:t>Indiana State University’s current overall capacity in its residence halls is 3,312 beds with 97% occupancy in the fall of 2008.  Following the renovation of Sandison Hall, there will be 240 additional beds</w:t>
      </w:r>
      <w:r>
        <w:rPr>
          <w:rFonts w:ascii="Times New Roman" w:hAnsi="Times New Roman"/>
          <w:color w:val="000000" w:themeColor="text1"/>
          <w:szCs w:val="22"/>
        </w:rPr>
        <w:t xml:space="preserve"> available</w:t>
      </w:r>
      <w:r w:rsidRPr="00A23EF1">
        <w:rPr>
          <w:rFonts w:ascii="Times New Roman" w:hAnsi="Times New Roman"/>
          <w:color w:val="000000" w:themeColor="text1"/>
          <w:szCs w:val="22"/>
        </w:rPr>
        <w:t xml:space="preserve">.  However, </w:t>
      </w:r>
      <w:proofErr w:type="spellStart"/>
      <w:r w:rsidRPr="00A23EF1">
        <w:rPr>
          <w:rFonts w:ascii="Times New Roman" w:hAnsi="Times New Roman"/>
          <w:color w:val="000000" w:themeColor="text1"/>
          <w:szCs w:val="22"/>
        </w:rPr>
        <w:t>Pickerl</w:t>
      </w:r>
      <w:proofErr w:type="spellEnd"/>
      <w:r w:rsidRPr="00A23EF1">
        <w:rPr>
          <w:rFonts w:ascii="Times New Roman" w:hAnsi="Times New Roman"/>
          <w:color w:val="000000" w:themeColor="text1"/>
          <w:szCs w:val="22"/>
        </w:rPr>
        <w:t xml:space="preserve"> Residence Hall with a current capacity of 178 beds will go off-line for renovation or removal.</w:t>
      </w:r>
    </w:p>
    <w:p w:rsidR="00A23EF1" w:rsidRDefault="00A23EF1" w:rsidP="00A23EF1">
      <w:pPr>
        <w:ind w:left="1080"/>
        <w:rPr>
          <w:rFonts w:ascii="Times New Roman" w:hAnsi="Times New Roman"/>
          <w:color w:val="000000" w:themeColor="text1"/>
          <w:szCs w:val="22"/>
        </w:rPr>
      </w:pPr>
    </w:p>
    <w:p w:rsidR="004F79EA" w:rsidRPr="00A23EF1" w:rsidRDefault="004F79EA" w:rsidP="00E978A2">
      <w:pPr>
        <w:numPr>
          <w:ilvl w:val="0"/>
          <w:numId w:val="1"/>
        </w:numPr>
        <w:rPr>
          <w:rFonts w:ascii="Times New Roman" w:hAnsi="Times New Roman"/>
          <w:color w:val="000000" w:themeColor="text1"/>
          <w:szCs w:val="22"/>
        </w:rPr>
      </w:pPr>
      <w:r w:rsidRPr="00A23EF1">
        <w:rPr>
          <w:rFonts w:ascii="Times New Roman" w:hAnsi="Times New Roman"/>
          <w:color w:val="000000" w:themeColor="text1"/>
          <w:szCs w:val="22"/>
        </w:rPr>
        <w:t>Debt service for the project will be spread across the residence hall system.  For 200</w:t>
      </w:r>
      <w:r w:rsidR="00614C04" w:rsidRPr="00A23EF1">
        <w:rPr>
          <w:rFonts w:ascii="Times New Roman" w:hAnsi="Times New Roman"/>
          <w:color w:val="000000" w:themeColor="text1"/>
          <w:szCs w:val="22"/>
        </w:rPr>
        <w:t>8</w:t>
      </w:r>
      <w:r w:rsidRPr="00A23EF1">
        <w:rPr>
          <w:rFonts w:ascii="Times New Roman" w:hAnsi="Times New Roman"/>
          <w:color w:val="000000" w:themeColor="text1"/>
          <w:szCs w:val="22"/>
        </w:rPr>
        <w:t>-0</w:t>
      </w:r>
      <w:r w:rsidR="00614C04" w:rsidRPr="00A23EF1">
        <w:rPr>
          <w:rFonts w:ascii="Times New Roman" w:hAnsi="Times New Roman"/>
          <w:color w:val="000000" w:themeColor="text1"/>
          <w:szCs w:val="22"/>
        </w:rPr>
        <w:t>9</w:t>
      </w:r>
      <w:r w:rsidRPr="00A23EF1">
        <w:rPr>
          <w:rFonts w:ascii="Times New Roman" w:hAnsi="Times New Roman"/>
          <w:color w:val="000000" w:themeColor="text1"/>
          <w:szCs w:val="22"/>
        </w:rPr>
        <w:t xml:space="preserve">, the room and board rate </w:t>
      </w:r>
      <w:r w:rsidR="00E978A2" w:rsidRPr="00A23EF1">
        <w:rPr>
          <w:rFonts w:ascii="Times New Roman" w:hAnsi="Times New Roman"/>
          <w:color w:val="000000" w:themeColor="text1"/>
          <w:szCs w:val="22"/>
        </w:rPr>
        <w:t xml:space="preserve">for the </w:t>
      </w:r>
      <w:r w:rsidRPr="00A23EF1">
        <w:rPr>
          <w:rFonts w:ascii="Times New Roman" w:hAnsi="Times New Roman"/>
          <w:color w:val="000000" w:themeColor="text1"/>
          <w:szCs w:val="22"/>
        </w:rPr>
        <w:t>Indiana State University</w:t>
      </w:r>
      <w:r w:rsidR="00E978A2" w:rsidRPr="00A23EF1">
        <w:rPr>
          <w:rFonts w:ascii="Times New Roman" w:hAnsi="Times New Roman"/>
          <w:color w:val="000000" w:themeColor="text1"/>
          <w:szCs w:val="22"/>
        </w:rPr>
        <w:t xml:space="preserve"> residence hall system </w:t>
      </w:r>
      <w:r w:rsidR="00614C04" w:rsidRPr="00A23EF1">
        <w:rPr>
          <w:rFonts w:ascii="Times New Roman" w:hAnsi="Times New Roman"/>
          <w:color w:val="000000" w:themeColor="text1"/>
          <w:szCs w:val="22"/>
        </w:rPr>
        <w:t xml:space="preserve">range from </w:t>
      </w:r>
      <w:r w:rsidRPr="00A23EF1">
        <w:rPr>
          <w:rFonts w:ascii="Times New Roman" w:hAnsi="Times New Roman"/>
          <w:color w:val="000000" w:themeColor="text1"/>
          <w:szCs w:val="22"/>
        </w:rPr>
        <w:t>$</w:t>
      </w:r>
      <w:r w:rsidR="00614C04" w:rsidRPr="00A23EF1">
        <w:rPr>
          <w:rFonts w:ascii="Times New Roman" w:hAnsi="Times New Roman"/>
          <w:color w:val="000000" w:themeColor="text1"/>
          <w:szCs w:val="22"/>
        </w:rPr>
        <w:t>6,972 to $7,228</w:t>
      </w:r>
      <w:r w:rsidRPr="00A23EF1">
        <w:rPr>
          <w:rFonts w:ascii="Times New Roman" w:hAnsi="Times New Roman"/>
          <w:color w:val="000000" w:themeColor="text1"/>
          <w:szCs w:val="22"/>
        </w:rPr>
        <w:t>.  For 200</w:t>
      </w:r>
      <w:r w:rsidR="00614C04" w:rsidRPr="00A23EF1">
        <w:rPr>
          <w:rFonts w:ascii="Times New Roman" w:hAnsi="Times New Roman"/>
          <w:color w:val="000000" w:themeColor="text1"/>
          <w:szCs w:val="22"/>
        </w:rPr>
        <w:t>9</w:t>
      </w:r>
      <w:r w:rsidRPr="00A23EF1">
        <w:rPr>
          <w:rFonts w:ascii="Times New Roman" w:hAnsi="Times New Roman"/>
          <w:color w:val="000000" w:themeColor="text1"/>
          <w:szCs w:val="22"/>
        </w:rPr>
        <w:t>-</w:t>
      </w:r>
      <w:r w:rsidR="00614C04" w:rsidRPr="00A23EF1">
        <w:rPr>
          <w:rFonts w:ascii="Times New Roman" w:hAnsi="Times New Roman"/>
          <w:color w:val="000000" w:themeColor="text1"/>
          <w:szCs w:val="22"/>
        </w:rPr>
        <w:t>10</w:t>
      </w:r>
      <w:r w:rsidRPr="00A23EF1">
        <w:rPr>
          <w:rFonts w:ascii="Times New Roman" w:hAnsi="Times New Roman"/>
          <w:color w:val="000000" w:themeColor="text1"/>
          <w:szCs w:val="22"/>
        </w:rPr>
        <w:t xml:space="preserve">, the room and board rate </w:t>
      </w:r>
      <w:r w:rsidR="00614C04" w:rsidRPr="00A23EF1">
        <w:rPr>
          <w:rFonts w:ascii="Times New Roman" w:hAnsi="Times New Roman"/>
          <w:color w:val="000000" w:themeColor="text1"/>
          <w:szCs w:val="22"/>
        </w:rPr>
        <w:t>is expected to increase by 7.</w:t>
      </w:r>
      <w:r w:rsidR="001526C1" w:rsidRPr="00A23EF1">
        <w:rPr>
          <w:rFonts w:ascii="Times New Roman" w:hAnsi="Times New Roman"/>
          <w:color w:val="000000" w:themeColor="text1"/>
          <w:szCs w:val="22"/>
        </w:rPr>
        <w:t>0</w:t>
      </w:r>
      <w:r w:rsidR="00614C04" w:rsidRPr="00A23EF1">
        <w:rPr>
          <w:rFonts w:ascii="Times New Roman" w:hAnsi="Times New Roman"/>
          <w:color w:val="000000" w:themeColor="text1"/>
          <w:szCs w:val="22"/>
        </w:rPr>
        <w:t>%</w:t>
      </w:r>
      <w:r w:rsidRPr="00A23EF1">
        <w:rPr>
          <w:rFonts w:ascii="Times New Roman" w:hAnsi="Times New Roman"/>
          <w:color w:val="000000" w:themeColor="text1"/>
          <w:szCs w:val="22"/>
        </w:rPr>
        <w:t>.</w:t>
      </w:r>
    </w:p>
    <w:p w:rsidR="00023146" w:rsidRPr="00A23EF1" w:rsidRDefault="00023146" w:rsidP="00023146">
      <w:pPr>
        <w:pStyle w:val="ListParagraph"/>
        <w:rPr>
          <w:rFonts w:ascii="Times New Roman" w:hAnsi="Times New Roman"/>
          <w:color w:val="000000" w:themeColor="text1"/>
          <w:szCs w:val="22"/>
        </w:rPr>
      </w:pPr>
    </w:p>
    <w:p w:rsidR="00023146" w:rsidRPr="00A23EF1" w:rsidRDefault="00DE6019" w:rsidP="004F79EA">
      <w:pPr>
        <w:numPr>
          <w:ilvl w:val="0"/>
          <w:numId w:val="1"/>
        </w:numPr>
        <w:rPr>
          <w:rFonts w:ascii="Times New Roman" w:hAnsi="Times New Roman"/>
          <w:color w:val="000000" w:themeColor="text1"/>
          <w:szCs w:val="22"/>
        </w:rPr>
      </w:pPr>
      <w:r w:rsidRPr="00A23EF1">
        <w:rPr>
          <w:rFonts w:ascii="Times New Roman" w:hAnsi="Times New Roman"/>
          <w:color w:val="000000" w:themeColor="text1"/>
          <w:szCs w:val="22"/>
        </w:rPr>
        <w:t>In FY 09, t</w:t>
      </w:r>
      <w:r w:rsidR="00614C04" w:rsidRPr="00A23EF1">
        <w:rPr>
          <w:rFonts w:ascii="Times New Roman" w:hAnsi="Times New Roman"/>
          <w:color w:val="000000" w:themeColor="text1"/>
          <w:szCs w:val="22"/>
        </w:rPr>
        <w:t xml:space="preserve">he Housing and Dining </w:t>
      </w:r>
      <w:r w:rsidRPr="00A23EF1">
        <w:rPr>
          <w:rFonts w:ascii="Times New Roman" w:hAnsi="Times New Roman"/>
          <w:color w:val="000000" w:themeColor="text1"/>
          <w:szCs w:val="22"/>
        </w:rPr>
        <w:t>accounts at Indiana State</w:t>
      </w:r>
      <w:r w:rsidR="00B11551" w:rsidRPr="00A23EF1">
        <w:rPr>
          <w:rFonts w:ascii="Times New Roman" w:hAnsi="Times New Roman"/>
          <w:color w:val="000000" w:themeColor="text1"/>
          <w:szCs w:val="22"/>
        </w:rPr>
        <w:t xml:space="preserve"> U</w:t>
      </w:r>
      <w:r w:rsidRPr="00A23EF1">
        <w:rPr>
          <w:rFonts w:ascii="Times New Roman" w:hAnsi="Times New Roman"/>
          <w:color w:val="000000" w:themeColor="text1"/>
          <w:szCs w:val="22"/>
        </w:rPr>
        <w:t>niversity expect operating revenues of approximately $21.3M and operating expenditures of $19.1M.  The reserves in the accounts at the end of FY 09 are expected to be approximately $20M.  ISU is spending only $1.5M of reserves on this project and bonding the remaining $9.5M.</w:t>
      </w:r>
      <w:r w:rsidR="00D71D20" w:rsidRPr="00A23EF1">
        <w:rPr>
          <w:rFonts w:ascii="Times New Roman" w:hAnsi="Times New Roman"/>
          <w:color w:val="000000" w:themeColor="text1"/>
          <w:szCs w:val="22"/>
        </w:rPr>
        <w:t xml:space="preserve">  A</w:t>
      </w:r>
      <w:r w:rsidR="00405E2C" w:rsidRPr="00A23EF1">
        <w:rPr>
          <w:rFonts w:ascii="Times New Roman" w:hAnsi="Times New Roman"/>
          <w:color w:val="000000" w:themeColor="text1"/>
          <w:szCs w:val="22"/>
        </w:rPr>
        <w:t>t</w:t>
      </w:r>
      <w:r w:rsidR="00D71D20" w:rsidRPr="00A23EF1">
        <w:rPr>
          <w:rFonts w:ascii="Times New Roman" w:hAnsi="Times New Roman"/>
          <w:color w:val="000000" w:themeColor="text1"/>
          <w:szCs w:val="22"/>
        </w:rPr>
        <w:t xml:space="preserve"> the same time, ISU is raising room and board rates by 7.</w:t>
      </w:r>
      <w:r w:rsidR="00B63123" w:rsidRPr="00A23EF1">
        <w:rPr>
          <w:rFonts w:ascii="Times New Roman" w:hAnsi="Times New Roman"/>
          <w:color w:val="000000" w:themeColor="text1"/>
          <w:szCs w:val="22"/>
        </w:rPr>
        <w:t>0</w:t>
      </w:r>
      <w:r w:rsidR="00D71D20" w:rsidRPr="00A23EF1">
        <w:rPr>
          <w:rFonts w:ascii="Times New Roman" w:hAnsi="Times New Roman"/>
          <w:color w:val="000000" w:themeColor="text1"/>
          <w:szCs w:val="22"/>
        </w:rPr>
        <w:t xml:space="preserve">% in the 2009-10 school </w:t>
      </w:r>
      <w:proofErr w:type="gramStart"/>
      <w:r w:rsidR="00D71D20" w:rsidRPr="00A23EF1">
        <w:rPr>
          <w:rFonts w:ascii="Times New Roman" w:hAnsi="Times New Roman"/>
          <w:color w:val="000000" w:themeColor="text1"/>
          <w:szCs w:val="22"/>
        </w:rPr>
        <w:t>year</w:t>
      </w:r>
      <w:proofErr w:type="gramEnd"/>
      <w:r w:rsidR="00D71D20" w:rsidRPr="00A23EF1">
        <w:rPr>
          <w:rFonts w:ascii="Times New Roman" w:hAnsi="Times New Roman"/>
          <w:color w:val="000000" w:themeColor="text1"/>
          <w:szCs w:val="22"/>
        </w:rPr>
        <w:t>.</w:t>
      </w:r>
      <w:r w:rsidR="00405E2C" w:rsidRPr="00A23EF1">
        <w:rPr>
          <w:rFonts w:ascii="Times New Roman" w:hAnsi="Times New Roman"/>
          <w:color w:val="000000" w:themeColor="text1"/>
          <w:szCs w:val="22"/>
        </w:rPr>
        <w:t xml:space="preserve">  ISU reports that </w:t>
      </w:r>
      <w:r w:rsidR="00405E2C" w:rsidRPr="00A23EF1">
        <w:rPr>
          <w:rFonts w:ascii="Times New Roman" w:hAnsi="Times New Roman"/>
          <w:color w:val="000000" w:themeColor="text1"/>
          <w:szCs w:val="22"/>
        </w:rPr>
        <w:lastRenderedPageBreak/>
        <w:t xml:space="preserve">other projects are planned from the reserve fund and that ISU is undertaking a comprehensive </w:t>
      </w:r>
      <w:r w:rsidR="00B63123" w:rsidRPr="00A23EF1">
        <w:rPr>
          <w:rFonts w:ascii="Times New Roman" w:hAnsi="Times New Roman"/>
          <w:color w:val="000000" w:themeColor="text1"/>
          <w:szCs w:val="22"/>
        </w:rPr>
        <w:t>Land Use Plan</w:t>
      </w:r>
      <w:r w:rsidR="00405E2C" w:rsidRPr="00A23EF1">
        <w:rPr>
          <w:rFonts w:ascii="Times New Roman" w:hAnsi="Times New Roman"/>
          <w:color w:val="000000" w:themeColor="text1"/>
          <w:szCs w:val="22"/>
        </w:rPr>
        <w:t xml:space="preserve"> and wishes to keep a healthy reserve until the plan is complete. </w:t>
      </w:r>
      <w:r w:rsidRPr="00A23EF1">
        <w:rPr>
          <w:rFonts w:ascii="Times New Roman" w:hAnsi="Times New Roman"/>
          <w:color w:val="000000" w:themeColor="text1"/>
          <w:szCs w:val="22"/>
        </w:rPr>
        <w:t xml:space="preserve">    </w:t>
      </w:r>
    </w:p>
    <w:sectPr w:rsidR="00023146" w:rsidRPr="00A23EF1" w:rsidSect="002D0864">
      <w:footnotePr>
        <w:numFmt w:val="chicago"/>
      </w:footnotePr>
      <w:pgSz w:w="12240" w:h="15840" w:code="1"/>
      <w:pgMar w:top="1440" w:right="1440" w:bottom="144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71D20" w:rsidRDefault="00D71D20">
      <w:r>
        <w:separator/>
      </w:r>
    </w:p>
  </w:endnote>
  <w:endnote w:type="continuationSeparator" w:id="1">
    <w:p w:rsidR="00D71D20" w:rsidRDefault="00D71D2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71D20" w:rsidRDefault="00D71D20">
      <w:r>
        <w:separator/>
      </w:r>
    </w:p>
  </w:footnote>
  <w:footnote w:type="continuationSeparator" w:id="1">
    <w:p w:rsidR="00D71D20" w:rsidRDefault="00D71D20">
      <w:r>
        <w:continuationSeparator/>
      </w:r>
    </w:p>
  </w:footnote>
  <w:footnote w:id="2">
    <w:p w:rsidR="00D71D20" w:rsidRPr="00EF75E6" w:rsidRDefault="00D71D20">
      <w:pPr>
        <w:pStyle w:val="FootnoteText"/>
        <w:rPr>
          <w:rFonts w:ascii="Times New Roman" w:hAnsi="Times New Roman"/>
          <w:sz w:val="18"/>
          <w:szCs w:val="18"/>
        </w:rPr>
      </w:pPr>
      <w:r w:rsidRPr="00EF75E6">
        <w:rPr>
          <w:rStyle w:val="FootnoteReference"/>
          <w:rFonts w:ascii="Times New Roman" w:hAnsi="Times New Roman"/>
          <w:sz w:val="18"/>
          <w:szCs w:val="18"/>
        </w:rPr>
        <w:footnoteRef/>
      </w:r>
      <w:r w:rsidRPr="00EF75E6">
        <w:rPr>
          <w:rFonts w:ascii="Times New Roman" w:hAnsi="Times New Roman"/>
          <w:sz w:val="18"/>
          <w:szCs w:val="18"/>
        </w:rPr>
        <w:t xml:space="preserve"> The Staff Analysis is a Commission staff work product.  Most other portions of this document are extracted from documents authored by the institution, with occasional editing to conform to agenda presentation style.</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B1B1312"/>
    <w:multiLevelType w:val="hybridMultilevel"/>
    <w:tmpl w:val="662AFA08"/>
    <w:lvl w:ilvl="0" w:tplc="0478ED20">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05"/>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numFmt w:val="chicago"/>
    <w:footnote w:id="0"/>
    <w:footnote w:id="1"/>
  </w:footnotePr>
  <w:endnotePr>
    <w:endnote w:id="0"/>
    <w:endnote w:id="1"/>
  </w:endnotePr>
  <w:compat/>
  <w:rsids>
    <w:rsidRoot w:val="00380554"/>
    <w:rsid w:val="00023146"/>
    <w:rsid w:val="000369DD"/>
    <w:rsid w:val="00120412"/>
    <w:rsid w:val="00135620"/>
    <w:rsid w:val="001514D1"/>
    <w:rsid w:val="001526C1"/>
    <w:rsid w:val="001B23FD"/>
    <w:rsid w:val="002C3B2A"/>
    <w:rsid w:val="002D0864"/>
    <w:rsid w:val="00333D11"/>
    <w:rsid w:val="00380554"/>
    <w:rsid w:val="00391074"/>
    <w:rsid w:val="003E6721"/>
    <w:rsid w:val="00405E2C"/>
    <w:rsid w:val="00497703"/>
    <w:rsid w:val="004F79EA"/>
    <w:rsid w:val="00552AF6"/>
    <w:rsid w:val="00605DC1"/>
    <w:rsid w:val="006140E3"/>
    <w:rsid w:val="00614C04"/>
    <w:rsid w:val="00656B34"/>
    <w:rsid w:val="006A0EEA"/>
    <w:rsid w:val="006C7F7E"/>
    <w:rsid w:val="006F78C7"/>
    <w:rsid w:val="0071448C"/>
    <w:rsid w:val="0073587A"/>
    <w:rsid w:val="00770ED0"/>
    <w:rsid w:val="00802D38"/>
    <w:rsid w:val="008F40E3"/>
    <w:rsid w:val="00966340"/>
    <w:rsid w:val="00A1559B"/>
    <w:rsid w:val="00A23EF1"/>
    <w:rsid w:val="00A5043D"/>
    <w:rsid w:val="00A876A3"/>
    <w:rsid w:val="00AE168E"/>
    <w:rsid w:val="00B11551"/>
    <w:rsid w:val="00B11C9A"/>
    <w:rsid w:val="00B16026"/>
    <w:rsid w:val="00B63123"/>
    <w:rsid w:val="00BE051D"/>
    <w:rsid w:val="00C00762"/>
    <w:rsid w:val="00C24FF4"/>
    <w:rsid w:val="00C50880"/>
    <w:rsid w:val="00CD47E2"/>
    <w:rsid w:val="00D1441C"/>
    <w:rsid w:val="00D66AA7"/>
    <w:rsid w:val="00D67CB0"/>
    <w:rsid w:val="00D71D20"/>
    <w:rsid w:val="00DE0315"/>
    <w:rsid w:val="00DE6019"/>
    <w:rsid w:val="00E0211E"/>
    <w:rsid w:val="00E978A2"/>
    <w:rsid w:val="00EF75E6"/>
    <w:rsid w:val="00F5465A"/>
    <w:rsid w:val="00F62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0864"/>
    <w:rPr>
      <w:rFonts w:ascii="NewCenturySchlbk" w:hAnsi="NewCenturySchlbk"/>
      <w:sz w:val="22"/>
    </w:rPr>
  </w:style>
  <w:style w:type="paragraph" w:styleId="Heading1">
    <w:name w:val="heading 1"/>
    <w:basedOn w:val="Normal"/>
    <w:next w:val="Normal"/>
    <w:qFormat/>
    <w:rsid w:val="002D0864"/>
    <w:pPr>
      <w:keepNext/>
      <w:ind w:left="720" w:right="720"/>
      <w:jc w:val="center"/>
      <w:outlineLvl w:val="0"/>
    </w:pPr>
    <w:rPr>
      <w:rFonts w:ascii="Times New Roman" w:hAnsi="Times New Roman"/>
      <w:b/>
    </w:rPr>
  </w:style>
  <w:style w:type="paragraph" w:styleId="Heading2">
    <w:name w:val="heading 2"/>
    <w:basedOn w:val="Normal"/>
    <w:next w:val="Normal"/>
    <w:qFormat/>
    <w:rsid w:val="002D0864"/>
    <w:pPr>
      <w:keepNext/>
      <w:ind w:left="720" w:right="720"/>
      <w:outlineLvl w:val="1"/>
    </w:pPr>
    <w:rPr>
      <w:rFonts w:ascii="Times New Roman" w:hAnsi="Times New Roman"/>
      <w:u w:val="single"/>
    </w:rPr>
  </w:style>
  <w:style w:type="paragraph" w:styleId="Heading3">
    <w:name w:val="heading 3"/>
    <w:basedOn w:val="Normal"/>
    <w:next w:val="Normal"/>
    <w:qFormat/>
    <w:rsid w:val="002D0864"/>
    <w:pPr>
      <w:keepNext/>
      <w:ind w:right="720"/>
      <w:outlineLvl w:val="2"/>
    </w:pPr>
    <w:rPr>
      <w:rFonts w:ascii="Times New Roman" w:hAnsi="Times New Roman"/>
      <w:b/>
    </w:rPr>
  </w:style>
  <w:style w:type="paragraph" w:styleId="Heading4">
    <w:name w:val="heading 4"/>
    <w:basedOn w:val="Normal"/>
    <w:next w:val="Normal"/>
    <w:qFormat/>
    <w:rsid w:val="002D0864"/>
    <w:pPr>
      <w:keepNext/>
      <w:ind w:right="720"/>
      <w:outlineLvl w:val="3"/>
    </w:pPr>
    <w:rPr>
      <w:rFonts w:ascii="Times New Roman" w:hAnsi="Times New Roman"/>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D0864"/>
    <w:pPr>
      <w:widowControl w:val="0"/>
      <w:autoSpaceDE w:val="0"/>
      <w:autoSpaceDN w:val="0"/>
      <w:adjustRightInd w:val="0"/>
    </w:pPr>
    <w:rPr>
      <w:rFonts w:ascii="Courier" w:hAnsi="Courier"/>
      <w:sz w:val="20"/>
    </w:rPr>
  </w:style>
  <w:style w:type="paragraph" w:styleId="BodyText">
    <w:name w:val="Body Text"/>
    <w:basedOn w:val="Normal"/>
    <w:rsid w:val="002D0864"/>
    <w:pPr>
      <w:ind w:right="720"/>
    </w:pPr>
    <w:rPr>
      <w:rFonts w:ascii="Times New Roman" w:hAnsi="Times New Roman"/>
    </w:rPr>
  </w:style>
  <w:style w:type="paragraph" w:styleId="Footer">
    <w:name w:val="footer"/>
    <w:basedOn w:val="Normal"/>
    <w:rsid w:val="002D0864"/>
    <w:pPr>
      <w:tabs>
        <w:tab w:val="center" w:pos="4320"/>
        <w:tab w:val="right" w:pos="8640"/>
      </w:tabs>
    </w:pPr>
  </w:style>
  <w:style w:type="paragraph" w:styleId="BodyTextIndent">
    <w:name w:val="Body Text Indent"/>
    <w:basedOn w:val="Normal"/>
    <w:rsid w:val="002D0864"/>
    <w:pPr>
      <w:tabs>
        <w:tab w:val="left" w:pos="3240"/>
      </w:tabs>
      <w:ind w:left="3240" w:hanging="3240"/>
    </w:pPr>
    <w:rPr>
      <w:rFonts w:ascii="Times New Roman" w:hAnsi="Times New Roman"/>
    </w:rPr>
  </w:style>
  <w:style w:type="paragraph" w:styleId="FootnoteText">
    <w:name w:val="footnote text"/>
    <w:basedOn w:val="Normal"/>
    <w:semiHidden/>
    <w:rsid w:val="00EF75E6"/>
    <w:rPr>
      <w:sz w:val="20"/>
    </w:rPr>
  </w:style>
  <w:style w:type="character" w:styleId="FootnoteReference">
    <w:name w:val="footnote reference"/>
    <w:basedOn w:val="DefaultParagraphFont"/>
    <w:semiHidden/>
    <w:rsid w:val="00EF75E6"/>
    <w:rPr>
      <w:vertAlign w:val="superscript"/>
    </w:rPr>
  </w:style>
  <w:style w:type="paragraph" w:styleId="ListParagraph">
    <w:name w:val="List Paragraph"/>
    <w:basedOn w:val="Normal"/>
    <w:uiPriority w:val="34"/>
    <w:qFormat/>
    <w:rsid w:val="00023146"/>
    <w:pPr>
      <w:ind w:left="72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1088</Words>
  <Characters>6202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Cover: Decision Item</vt:lpstr>
    </vt:vector>
  </TitlesOfParts>
  <Company>CHE</Company>
  <LinksUpToDate>false</LinksUpToDate>
  <CharactersWithSpaces>7276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Decision Item</dc:title>
  <dc:subject/>
  <dc:creator>Microsoft Corporation</dc:creator>
  <cp:keywords/>
  <cp:lastModifiedBy>Rosemary price</cp:lastModifiedBy>
  <cp:revision>3</cp:revision>
  <cp:lastPrinted>2009-04-29T18:46:00Z</cp:lastPrinted>
  <dcterms:created xsi:type="dcterms:W3CDTF">2009-04-30T16:38:00Z</dcterms:created>
  <dcterms:modified xsi:type="dcterms:W3CDTF">2009-04-30T16:38:00Z</dcterms:modified>
</cp:coreProperties>
</file>