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AF" w:rsidRPr="006F3EF4" w:rsidRDefault="00841DAF" w:rsidP="00DA7C10">
      <w:pPr>
        <w:tabs>
          <w:tab w:val="center" w:pos="4680"/>
        </w:tabs>
        <w:spacing w:after="120" w:line="23" w:lineRule="atLeast"/>
        <w:rPr>
          <w:rFonts w:asciiTheme="majorHAnsi" w:hAnsiTheme="majorHAnsi"/>
          <w:b/>
          <w:bCs/>
        </w:rPr>
      </w:pPr>
      <w:r w:rsidRPr="006F3EF4">
        <w:rPr>
          <w:rFonts w:asciiTheme="majorHAnsi" w:hAnsiTheme="majorHAnsi"/>
        </w:rPr>
        <w:tab/>
      </w:r>
      <w:r w:rsidRPr="006F3EF4">
        <w:rPr>
          <w:rFonts w:asciiTheme="majorHAnsi" w:hAnsiTheme="majorHAnsi"/>
          <w:b/>
          <w:bCs/>
        </w:rPr>
        <w:t>STATE OF INDIANA</w:t>
      </w:r>
    </w:p>
    <w:p w:rsidR="00841DAF" w:rsidRPr="006F3EF4" w:rsidRDefault="00841DAF" w:rsidP="00DA7C10">
      <w:pPr>
        <w:tabs>
          <w:tab w:val="center" w:pos="4680"/>
        </w:tabs>
        <w:spacing w:after="120" w:line="23" w:lineRule="atLeast"/>
        <w:rPr>
          <w:rFonts w:asciiTheme="majorHAnsi" w:hAnsiTheme="majorHAnsi"/>
          <w:b/>
          <w:bCs/>
        </w:rPr>
      </w:pPr>
      <w:r w:rsidRPr="006F3EF4">
        <w:rPr>
          <w:rFonts w:asciiTheme="majorHAnsi" w:hAnsiTheme="majorHAnsi"/>
          <w:b/>
          <w:bCs/>
        </w:rPr>
        <w:tab/>
        <w:t>BEFORE THE ALCOHOL &amp; TOBACCO COMMISSION</w:t>
      </w:r>
    </w:p>
    <w:p w:rsidR="00841DAF" w:rsidRPr="006F3EF4" w:rsidRDefault="00841DAF" w:rsidP="00DA7C10">
      <w:pPr>
        <w:tabs>
          <w:tab w:val="left" w:pos="-1440"/>
        </w:tabs>
        <w:spacing w:line="20" w:lineRule="atLeast"/>
        <w:ind w:left="4320" w:hanging="4320"/>
        <w:rPr>
          <w:rFonts w:asciiTheme="majorHAnsi" w:hAnsiTheme="majorHAnsi"/>
          <w:b/>
          <w:bCs/>
        </w:rPr>
      </w:pPr>
      <w:r w:rsidRPr="006F3EF4">
        <w:rPr>
          <w:rFonts w:asciiTheme="majorHAnsi" w:hAnsiTheme="majorHAnsi"/>
          <w:b/>
          <w:bCs/>
        </w:rPr>
        <w:t>IN THE MATTER OF</w:t>
      </w:r>
      <w:r w:rsidRPr="006F3EF4">
        <w:rPr>
          <w:rFonts w:asciiTheme="majorHAnsi" w:hAnsiTheme="majorHAnsi"/>
          <w:b/>
          <w:bCs/>
        </w:rPr>
        <w:tab/>
        <w:t>)</w:t>
      </w:r>
    </w:p>
    <w:p w:rsidR="00841DAF" w:rsidRPr="006F3EF4" w:rsidRDefault="00841DAF" w:rsidP="00DA7C10">
      <w:pPr>
        <w:tabs>
          <w:tab w:val="left" w:pos="-1440"/>
        </w:tabs>
        <w:spacing w:line="20" w:lineRule="atLeast"/>
        <w:ind w:left="4320" w:hanging="4320"/>
        <w:rPr>
          <w:rFonts w:asciiTheme="majorHAnsi" w:hAnsiTheme="majorHAnsi"/>
          <w:b/>
          <w:bCs/>
        </w:rPr>
      </w:pPr>
      <w:r w:rsidRPr="006F3EF4">
        <w:rPr>
          <w:rFonts w:asciiTheme="majorHAnsi" w:hAnsiTheme="majorHAnsi"/>
          <w:b/>
          <w:bCs/>
        </w:rPr>
        <w:t>THE PERMIT OF:</w:t>
      </w:r>
      <w:r w:rsidRPr="006F3EF4">
        <w:rPr>
          <w:rFonts w:asciiTheme="majorHAnsi" w:hAnsiTheme="majorHAnsi"/>
          <w:b/>
          <w:bCs/>
        </w:rPr>
        <w:tab/>
        <w:t>)</w:t>
      </w:r>
    </w:p>
    <w:p w:rsidR="00841DAF" w:rsidRPr="006F3EF4" w:rsidRDefault="00841DAF" w:rsidP="00DA7C10">
      <w:pPr>
        <w:spacing w:line="20" w:lineRule="atLeast"/>
        <w:ind w:firstLine="4320"/>
        <w:rPr>
          <w:rFonts w:asciiTheme="majorHAnsi" w:hAnsiTheme="majorHAnsi"/>
          <w:b/>
          <w:bCs/>
        </w:rPr>
      </w:pPr>
      <w:r w:rsidRPr="006F3EF4">
        <w:rPr>
          <w:rFonts w:asciiTheme="majorHAnsi" w:hAnsiTheme="majorHAnsi"/>
          <w:b/>
          <w:bCs/>
        </w:rPr>
        <w:t>)</w:t>
      </w:r>
    </w:p>
    <w:p w:rsidR="00841DAF" w:rsidRPr="006F3EF4" w:rsidRDefault="00026B52" w:rsidP="00DA7C10">
      <w:pPr>
        <w:tabs>
          <w:tab w:val="left" w:pos="-1440"/>
        </w:tabs>
        <w:spacing w:line="20" w:lineRule="atLeast"/>
        <w:ind w:left="4320" w:hanging="4320"/>
        <w:rPr>
          <w:rFonts w:asciiTheme="majorHAnsi" w:hAnsiTheme="majorHAnsi"/>
          <w:b/>
          <w:bCs/>
        </w:rPr>
      </w:pPr>
      <w:proofErr w:type="gramStart"/>
      <w:r>
        <w:rPr>
          <w:rFonts w:asciiTheme="majorHAnsi" w:hAnsiTheme="majorHAnsi"/>
          <w:b/>
          <w:bCs/>
        </w:rPr>
        <w:t>NIRMAL PETROLEUM INC</w:t>
      </w:r>
      <w:r w:rsidR="00323284" w:rsidRPr="006F3EF4">
        <w:rPr>
          <w:rFonts w:asciiTheme="majorHAnsi" w:hAnsiTheme="majorHAnsi"/>
          <w:b/>
          <w:bCs/>
        </w:rPr>
        <w:tab/>
      </w:r>
      <w:r w:rsidR="00841DAF" w:rsidRPr="006F3EF4">
        <w:rPr>
          <w:rFonts w:asciiTheme="majorHAnsi" w:hAnsiTheme="majorHAnsi"/>
          <w:b/>
          <w:bCs/>
        </w:rPr>
        <w:t>)</w:t>
      </w:r>
      <w:r w:rsidR="00FB40D2" w:rsidRPr="006F3EF4">
        <w:rPr>
          <w:rFonts w:asciiTheme="majorHAnsi" w:hAnsiTheme="majorHAnsi"/>
          <w:b/>
          <w:bCs/>
        </w:rPr>
        <w:tab/>
      </w:r>
      <w:r w:rsidR="00841DAF" w:rsidRPr="006F3EF4">
        <w:rPr>
          <w:rFonts w:asciiTheme="majorHAnsi" w:hAnsiTheme="majorHAnsi"/>
          <w:b/>
          <w:bCs/>
        </w:rPr>
        <w:t xml:space="preserve"> PERMIT NO.</w:t>
      </w:r>
      <w:proofErr w:type="gramEnd"/>
      <w:r w:rsidR="00841DAF" w:rsidRPr="006F3EF4">
        <w:rPr>
          <w:rFonts w:asciiTheme="majorHAnsi" w:hAnsiTheme="majorHAnsi"/>
          <w:b/>
          <w:bCs/>
        </w:rPr>
        <w:t xml:space="preserve"> </w:t>
      </w:r>
      <w:r w:rsidR="001B670E">
        <w:rPr>
          <w:rFonts w:asciiTheme="majorHAnsi" w:hAnsiTheme="majorHAnsi"/>
          <w:b/>
          <w:bCs/>
        </w:rPr>
        <w:t>DL43-29022</w:t>
      </w:r>
    </w:p>
    <w:p w:rsidR="00F80DA4" w:rsidRDefault="00F80DA4" w:rsidP="00DA7C10">
      <w:pPr>
        <w:tabs>
          <w:tab w:val="left" w:pos="-1440"/>
        </w:tabs>
        <w:spacing w:line="20" w:lineRule="atLeast"/>
        <w:ind w:left="4320" w:hanging="4320"/>
        <w:rPr>
          <w:rFonts w:asciiTheme="majorHAnsi" w:hAnsiTheme="majorHAnsi"/>
          <w:b/>
          <w:bCs/>
        </w:rPr>
      </w:pPr>
      <w:proofErr w:type="gramStart"/>
      <w:r>
        <w:rPr>
          <w:rFonts w:asciiTheme="majorHAnsi" w:hAnsiTheme="majorHAnsi"/>
          <w:b/>
          <w:bCs/>
        </w:rPr>
        <w:t>d/b/a</w:t>
      </w:r>
      <w:proofErr w:type="gramEnd"/>
      <w:r w:rsidR="008D4E4F">
        <w:rPr>
          <w:rFonts w:asciiTheme="majorHAnsi" w:hAnsiTheme="majorHAnsi"/>
          <w:b/>
          <w:bCs/>
        </w:rPr>
        <w:t xml:space="preserve"> </w:t>
      </w:r>
      <w:r w:rsidR="00026B52">
        <w:rPr>
          <w:rFonts w:asciiTheme="majorHAnsi" w:hAnsiTheme="majorHAnsi"/>
          <w:b/>
          <w:bCs/>
        </w:rPr>
        <w:t>KATTIE’S KWIK MART</w:t>
      </w:r>
      <w:r>
        <w:rPr>
          <w:rFonts w:asciiTheme="majorHAnsi" w:hAnsiTheme="majorHAnsi"/>
          <w:b/>
          <w:bCs/>
        </w:rPr>
        <w:tab/>
        <w:t>)</w:t>
      </w:r>
    </w:p>
    <w:p w:rsidR="00841DAF" w:rsidRPr="006F3EF4" w:rsidRDefault="00026B52" w:rsidP="00DA7C10">
      <w:pPr>
        <w:tabs>
          <w:tab w:val="left" w:pos="-1440"/>
        </w:tabs>
        <w:spacing w:line="20" w:lineRule="atLeast"/>
        <w:ind w:left="4320" w:hanging="4320"/>
        <w:rPr>
          <w:rFonts w:asciiTheme="majorHAnsi" w:hAnsiTheme="majorHAnsi"/>
          <w:b/>
          <w:bCs/>
        </w:rPr>
      </w:pPr>
      <w:r>
        <w:rPr>
          <w:rFonts w:asciiTheme="majorHAnsi" w:hAnsiTheme="majorHAnsi"/>
          <w:b/>
          <w:bCs/>
        </w:rPr>
        <w:t>101 SOUTH MAIN STREET</w:t>
      </w:r>
      <w:r w:rsidR="00841DAF" w:rsidRPr="006F3EF4">
        <w:rPr>
          <w:rFonts w:asciiTheme="majorHAnsi" w:hAnsiTheme="majorHAnsi"/>
          <w:b/>
          <w:bCs/>
        </w:rPr>
        <w:tab/>
        <w:t>)</w:t>
      </w:r>
    </w:p>
    <w:p w:rsidR="00841DAF" w:rsidRPr="006F3EF4" w:rsidRDefault="00026B52" w:rsidP="00DA7C10">
      <w:pPr>
        <w:tabs>
          <w:tab w:val="left" w:pos="-1440"/>
        </w:tabs>
        <w:spacing w:line="20" w:lineRule="atLeast"/>
        <w:ind w:left="4320" w:hanging="4320"/>
        <w:rPr>
          <w:rFonts w:asciiTheme="majorHAnsi" w:hAnsiTheme="majorHAnsi"/>
          <w:b/>
          <w:bCs/>
        </w:rPr>
      </w:pPr>
      <w:r>
        <w:rPr>
          <w:rFonts w:asciiTheme="majorHAnsi" w:hAnsiTheme="majorHAnsi"/>
          <w:b/>
          <w:bCs/>
        </w:rPr>
        <w:t>LEESBURG</w:t>
      </w:r>
      <w:r w:rsidR="00E83C39">
        <w:rPr>
          <w:rFonts w:asciiTheme="majorHAnsi" w:hAnsiTheme="majorHAnsi"/>
          <w:b/>
          <w:bCs/>
        </w:rPr>
        <w:t>, IN 4</w:t>
      </w:r>
      <w:r>
        <w:rPr>
          <w:rFonts w:asciiTheme="majorHAnsi" w:hAnsiTheme="majorHAnsi"/>
          <w:b/>
          <w:bCs/>
        </w:rPr>
        <w:t>6538</w:t>
      </w:r>
      <w:r w:rsidR="00841DAF" w:rsidRPr="006F3EF4">
        <w:rPr>
          <w:rFonts w:asciiTheme="majorHAnsi" w:hAnsiTheme="majorHAnsi"/>
          <w:b/>
          <w:bCs/>
        </w:rPr>
        <w:tab/>
        <w:t>)</w:t>
      </w:r>
    </w:p>
    <w:p w:rsidR="00841DAF" w:rsidRPr="006F3EF4" w:rsidRDefault="00841DAF" w:rsidP="00DA7C10">
      <w:pPr>
        <w:spacing w:after="120" w:line="23" w:lineRule="atLeast"/>
        <w:ind w:firstLine="720"/>
        <w:rPr>
          <w:rFonts w:asciiTheme="majorHAnsi" w:hAnsiTheme="majorHAnsi"/>
          <w:b/>
          <w:bCs/>
        </w:rPr>
      </w:pPr>
      <w:r w:rsidRPr="006F3EF4">
        <w:rPr>
          <w:rFonts w:asciiTheme="majorHAnsi" w:hAnsiTheme="majorHAnsi"/>
          <w:b/>
          <w:bCs/>
        </w:rPr>
        <w:t>Applicant</w:t>
      </w:r>
    </w:p>
    <w:p w:rsidR="00841DAF" w:rsidRPr="006F3EF4" w:rsidRDefault="00841DAF" w:rsidP="00DA7C10">
      <w:pPr>
        <w:spacing w:after="120" w:line="23" w:lineRule="atLeast"/>
        <w:rPr>
          <w:rFonts w:asciiTheme="majorHAnsi" w:hAnsiTheme="majorHAnsi"/>
        </w:rPr>
      </w:pPr>
    </w:p>
    <w:p w:rsidR="00841DAF" w:rsidRPr="006F3EF4" w:rsidRDefault="00841DAF" w:rsidP="00DA7C10">
      <w:pPr>
        <w:tabs>
          <w:tab w:val="center" w:pos="4680"/>
        </w:tabs>
        <w:spacing w:after="120" w:line="23" w:lineRule="atLeast"/>
        <w:rPr>
          <w:rFonts w:asciiTheme="majorHAnsi" w:hAnsiTheme="majorHAnsi"/>
          <w:b/>
          <w:bCs/>
          <w:u w:val="single"/>
        </w:rPr>
      </w:pPr>
      <w:r w:rsidRPr="006F3EF4">
        <w:rPr>
          <w:rFonts w:asciiTheme="majorHAnsi" w:hAnsiTheme="majorHAnsi"/>
        </w:rPr>
        <w:tab/>
      </w:r>
      <w:r w:rsidR="00794564" w:rsidRPr="006F3EF4">
        <w:rPr>
          <w:rFonts w:asciiTheme="majorHAnsi" w:hAnsiTheme="majorHAnsi"/>
          <w:b/>
          <w:bCs/>
          <w:u w:val="single"/>
        </w:rPr>
        <w:t>PROP</w:t>
      </w:r>
      <w:r w:rsidR="00D576BA" w:rsidRPr="006F3EF4">
        <w:rPr>
          <w:rFonts w:asciiTheme="majorHAnsi" w:hAnsiTheme="majorHAnsi"/>
          <w:b/>
          <w:bCs/>
          <w:u w:val="single"/>
        </w:rPr>
        <w:t>OSED</w:t>
      </w:r>
      <w:r w:rsidR="00794564" w:rsidRPr="006F3EF4">
        <w:rPr>
          <w:rFonts w:asciiTheme="majorHAnsi" w:hAnsiTheme="majorHAnsi"/>
          <w:b/>
          <w:bCs/>
          <w:u w:val="single"/>
        </w:rPr>
        <w:t xml:space="preserve"> FINDINGS OF FACT AND CONCLUSIONS OF LAW</w:t>
      </w:r>
    </w:p>
    <w:p w:rsidR="00D576BA" w:rsidRPr="006F3EF4" w:rsidRDefault="00D576BA" w:rsidP="00DA7C10">
      <w:pPr>
        <w:tabs>
          <w:tab w:val="center" w:pos="4680"/>
        </w:tabs>
        <w:spacing w:after="120" w:line="23" w:lineRule="atLeast"/>
        <w:rPr>
          <w:rFonts w:asciiTheme="majorHAnsi" w:hAnsiTheme="majorHAnsi"/>
          <w:b/>
          <w:bCs/>
          <w:u w:val="single"/>
        </w:rPr>
      </w:pPr>
    </w:p>
    <w:p w:rsidR="00D80A8B" w:rsidRPr="006F3EF4" w:rsidRDefault="00D80A8B" w:rsidP="00D80A8B">
      <w:pPr>
        <w:pStyle w:val="Heading1"/>
        <w:spacing w:before="120" w:after="120"/>
        <w:jc w:val="center"/>
        <w:rPr>
          <w:rFonts w:asciiTheme="majorHAnsi" w:hAnsiTheme="majorHAnsi"/>
        </w:rPr>
      </w:pPr>
      <w:r w:rsidRPr="006F3EF4">
        <w:rPr>
          <w:rFonts w:asciiTheme="majorHAnsi" w:hAnsiTheme="majorHAnsi"/>
        </w:rPr>
        <w:t>Background of the Case</w:t>
      </w:r>
    </w:p>
    <w:p w:rsidR="00D80A8B" w:rsidRPr="006F3EF4" w:rsidRDefault="00026B52" w:rsidP="00D80A8B">
      <w:pPr>
        <w:ind w:firstLine="720"/>
        <w:rPr>
          <w:rFonts w:asciiTheme="majorHAnsi" w:hAnsiTheme="majorHAnsi"/>
        </w:rPr>
      </w:pPr>
      <w:proofErr w:type="spellStart"/>
      <w:r>
        <w:rPr>
          <w:rFonts w:asciiTheme="majorHAnsi" w:hAnsiTheme="majorHAnsi"/>
        </w:rPr>
        <w:t>Kattie’s</w:t>
      </w:r>
      <w:proofErr w:type="spellEnd"/>
      <w:r>
        <w:rPr>
          <w:rFonts w:asciiTheme="majorHAnsi" w:hAnsiTheme="majorHAnsi"/>
        </w:rPr>
        <w:t xml:space="preserve"> </w:t>
      </w:r>
      <w:proofErr w:type="spellStart"/>
      <w:r>
        <w:rPr>
          <w:rFonts w:asciiTheme="majorHAnsi" w:hAnsiTheme="majorHAnsi"/>
        </w:rPr>
        <w:t>Kwik</w:t>
      </w:r>
      <w:proofErr w:type="spellEnd"/>
      <w:r>
        <w:rPr>
          <w:rFonts w:asciiTheme="majorHAnsi" w:hAnsiTheme="majorHAnsi"/>
        </w:rPr>
        <w:t xml:space="preserve"> Mart </w:t>
      </w:r>
      <w:r w:rsidR="00E83C39">
        <w:rPr>
          <w:rFonts w:asciiTheme="majorHAnsi" w:hAnsiTheme="majorHAnsi"/>
        </w:rPr>
        <w:t>(“</w:t>
      </w:r>
      <w:r w:rsidR="006F3EF4">
        <w:rPr>
          <w:rFonts w:asciiTheme="majorHAnsi" w:hAnsiTheme="majorHAnsi"/>
        </w:rPr>
        <w:t>Applicant”)</w:t>
      </w:r>
      <w:r w:rsidR="00D80A8B" w:rsidRPr="006F3EF4">
        <w:rPr>
          <w:rFonts w:asciiTheme="majorHAnsi" w:hAnsiTheme="majorHAnsi"/>
        </w:rPr>
        <w:t xml:space="preserve"> is </w:t>
      </w:r>
      <w:r w:rsidR="006F3EF4">
        <w:rPr>
          <w:rFonts w:asciiTheme="majorHAnsi" w:hAnsiTheme="majorHAnsi"/>
        </w:rPr>
        <w:t>an</w:t>
      </w:r>
      <w:r w:rsidR="00D80A8B" w:rsidRPr="006F3EF4">
        <w:rPr>
          <w:rFonts w:asciiTheme="majorHAnsi" w:hAnsiTheme="majorHAnsi"/>
        </w:rPr>
        <w:t xml:space="preserve"> </w:t>
      </w:r>
      <w:r w:rsidR="006F3EF4">
        <w:rPr>
          <w:rFonts w:asciiTheme="majorHAnsi" w:hAnsiTheme="majorHAnsi"/>
        </w:rPr>
        <w:t>applicant for renewal</w:t>
      </w:r>
      <w:r w:rsidR="00D80A8B" w:rsidRPr="006F3EF4">
        <w:rPr>
          <w:rFonts w:asciiTheme="majorHAnsi" w:hAnsiTheme="majorHAnsi"/>
        </w:rPr>
        <w:t xml:space="preserve"> of Alcohol and Tobacco Commission permit type </w:t>
      </w:r>
      <w:r>
        <w:rPr>
          <w:rFonts w:asciiTheme="majorHAnsi" w:hAnsiTheme="majorHAnsi"/>
        </w:rPr>
        <w:t>115</w:t>
      </w:r>
      <w:r w:rsidR="00D80A8B" w:rsidRPr="006F3EF4">
        <w:rPr>
          <w:rFonts w:asciiTheme="majorHAnsi" w:hAnsiTheme="majorHAnsi"/>
        </w:rPr>
        <w:t xml:space="preserve">.  The </w:t>
      </w:r>
      <w:r w:rsidR="006F3EF4">
        <w:rPr>
          <w:rFonts w:asciiTheme="majorHAnsi" w:hAnsiTheme="majorHAnsi"/>
        </w:rPr>
        <w:t xml:space="preserve">Alcoholic Beverage Board of </w:t>
      </w:r>
      <w:r>
        <w:rPr>
          <w:rFonts w:asciiTheme="majorHAnsi" w:hAnsiTheme="majorHAnsi"/>
        </w:rPr>
        <w:t>Kosciusko</w:t>
      </w:r>
      <w:r w:rsidR="00D80A8B" w:rsidRPr="006F3EF4">
        <w:rPr>
          <w:rFonts w:asciiTheme="majorHAnsi" w:hAnsiTheme="majorHAnsi"/>
        </w:rPr>
        <w:t xml:space="preserve"> County </w:t>
      </w:r>
      <w:r w:rsidR="006F3EF4">
        <w:rPr>
          <w:rFonts w:asciiTheme="majorHAnsi" w:hAnsiTheme="majorHAnsi"/>
        </w:rPr>
        <w:t>(“Local Board”)</w:t>
      </w:r>
      <w:r w:rsidR="00D80A8B" w:rsidRPr="006F3EF4">
        <w:rPr>
          <w:rFonts w:asciiTheme="majorHAnsi" w:hAnsiTheme="majorHAnsi"/>
        </w:rPr>
        <w:t xml:space="preserve"> held a hearing </w:t>
      </w:r>
      <w:r w:rsidR="006F3EF4">
        <w:rPr>
          <w:rFonts w:asciiTheme="majorHAnsi" w:hAnsiTheme="majorHAnsi"/>
        </w:rPr>
        <w:t xml:space="preserve">and </w:t>
      </w:r>
      <w:r w:rsidR="00D80A8B" w:rsidRPr="006F3EF4">
        <w:rPr>
          <w:rFonts w:asciiTheme="majorHAnsi" w:hAnsiTheme="majorHAnsi"/>
        </w:rPr>
        <w:t xml:space="preserve">voted </w:t>
      </w:r>
      <w:r>
        <w:rPr>
          <w:rFonts w:asciiTheme="majorHAnsi" w:hAnsiTheme="majorHAnsi"/>
        </w:rPr>
        <w:t>3</w:t>
      </w:r>
      <w:r w:rsidR="001A72FB">
        <w:rPr>
          <w:rFonts w:asciiTheme="majorHAnsi" w:hAnsiTheme="majorHAnsi"/>
        </w:rPr>
        <w:t>-</w:t>
      </w:r>
      <w:r>
        <w:rPr>
          <w:rFonts w:asciiTheme="majorHAnsi" w:hAnsiTheme="majorHAnsi"/>
        </w:rPr>
        <w:t>1</w:t>
      </w:r>
      <w:r w:rsidR="00D80A8B" w:rsidRPr="006F3EF4">
        <w:rPr>
          <w:rFonts w:asciiTheme="majorHAnsi" w:hAnsiTheme="majorHAnsi"/>
        </w:rPr>
        <w:t xml:space="preserve"> to </w:t>
      </w:r>
      <w:r w:rsidR="00E83C39">
        <w:rPr>
          <w:rFonts w:asciiTheme="majorHAnsi" w:hAnsiTheme="majorHAnsi"/>
        </w:rPr>
        <w:t>recommend denial of</w:t>
      </w:r>
      <w:r w:rsidR="00D80A8B" w:rsidRPr="006F3EF4">
        <w:rPr>
          <w:rFonts w:asciiTheme="majorHAnsi" w:hAnsiTheme="majorHAnsi"/>
        </w:rPr>
        <w:t xml:space="preserve"> the application for renewal.  </w:t>
      </w:r>
      <w:r w:rsidR="006F3EF4">
        <w:rPr>
          <w:rFonts w:asciiTheme="majorHAnsi" w:hAnsiTheme="majorHAnsi"/>
        </w:rPr>
        <w:t>Applicant</w:t>
      </w:r>
      <w:r w:rsidR="006C40C9">
        <w:rPr>
          <w:rFonts w:asciiTheme="majorHAnsi" w:hAnsiTheme="majorHAnsi"/>
        </w:rPr>
        <w:t xml:space="preserve"> requested an appeal hearing before the Alcohol and Tobacco Commission (“Commission” or “ATC”.)  Applicant, by </w:t>
      </w:r>
      <w:proofErr w:type="gramStart"/>
      <w:r w:rsidR="006C40C9">
        <w:rPr>
          <w:rFonts w:asciiTheme="majorHAnsi" w:hAnsiTheme="majorHAnsi"/>
        </w:rPr>
        <w:t>counsel</w:t>
      </w:r>
      <w:proofErr w:type="gramEnd"/>
      <w:r w:rsidR="006C40C9">
        <w:rPr>
          <w:rFonts w:asciiTheme="majorHAnsi" w:hAnsiTheme="majorHAnsi"/>
        </w:rPr>
        <w:t xml:space="preserve"> </w:t>
      </w:r>
      <w:r>
        <w:rPr>
          <w:rFonts w:asciiTheme="majorHAnsi" w:hAnsiTheme="majorHAnsi"/>
        </w:rPr>
        <w:t>Bryon Berry</w:t>
      </w:r>
      <w:r w:rsidR="00C2772B">
        <w:rPr>
          <w:rFonts w:asciiTheme="majorHAnsi" w:hAnsiTheme="majorHAnsi"/>
        </w:rPr>
        <w:t>,</w:t>
      </w:r>
      <w:r w:rsidR="00E83C39">
        <w:rPr>
          <w:rFonts w:asciiTheme="majorHAnsi" w:hAnsiTheme="majorHAnsi"/>
        </w:rPr>
        <w:t xml:space="preserve"> </w:t>
      </w:r>
      <w:r w:rsidR="000C51CC">
        <w:rPr>
          <w:rFonts w:asciiTheme="majorHAnsi" w:hAnsiTheme="majorHAnsi"/>
        </w:rPr>
        <w:t>participated in an</w:t>
      </w:r>
      <w:r w:rsidR="00D80A8B" w:rsidRPr="006F3EF4">
        <w:rPr>
          <w:rFonts w:asciiTheme="majorHAnsi" w:hAnsiTheme="majorHAnsi"/>
        </w:rPr>
        <w:t xml:space="preserve"> </w:t>
      </w:r>
      <w:r w:rsidR="006F3EF4">
        <w:rPr>
          <w:rFonts w:asciiTheme="majorHAnsi" w:hAnsiTheme="majorHAnsi"/>
        </w:rPr>
        <w:t>appeal hearing</w:t>
      </w:r>
      <w:r w:rsidR="006C40C9">
        <w:rPr>
          <w:rFonts w:asciiTheme="majorHAnsi" w:hAnsiTheme="majorHAnsi"/>
        </w:rPr>
        <w:t xml:space="preserve"> held before </w:t>
      </w:r>
      <w:r w:rsidR="003A5C3F">
        <w:rPr>
          <w:rFonts w:asciiTheme="majorHAnsi" w:hAnsiTheme="majorHAnsi"/>
        </w:rPr>
        <w:t>Douglas M Kowalski</w:t>
      </w:r>
      <w:r w:rsidR="00D80A8B" w:rsidRPr="006F3EF4">
        <w:rPr>
          <w:rFonts w:asciiTheme="majorHAnsi" w:hAnsiTheme="majorHAnsi"/>
        </w:rPr>
        <w:t xml:space="preserve"> </w:t>
      </w:r>
      <w:r w:rsidR="006C40C9">
        <w:rPr>
          <w:rFonts w:asciiTheme="majorHAnsi" w:hAnsiTheme="majorHAnsi"/>
        </w:rPr>
        <w:t>(“</w:t>
      </w:r>
      <w:r w:rsidR="00D80A8B" w:rsidRPr="006F3EF4">
        <w:rPr>
          <w:rFonts w:asciiTheme="majorHAnsi" w:hAnsiTheme="majorHAnsi"/>
        </w:rPr>
        <w:t>Hearing Judge</w:t>
      </w:r>
      <w:r w:rsidR="006C40C9">
        <w:rPr>
          <w:rFonts w:asciiTheme="majorHAnsi" w:hAnsiTheme="majorHAnsi"/>
        </w:rPr>
        <w:t>”</w:t>
      </w:r>
      <w:r w:rsidR="00D80A8B" w:rsidRPr="006F3EF4">
        <w:rPr>
          <w:rFonts w:asciiTheme="majorHAnsi" w:hAnsiTheme="majorHAnsi"/>
        </w:rPr>
        <w:t>.</w:t>
      </w:r>
      <w:r w:rsidR="006C40C9">
        <w:rPr>
          <w:rFonts w:asciiTheme="majorHAnsi" w:hAnsiTheme="majorHAnsi"/>
        </w:rPr>
        <w:t>)</w:t>
      </w:r>
      <w:r w:rsidR="00D80A8B" w:rsidRPr="006F3EF4">
        <w:rPr>
          <w:rFonts w:asciiTheme="majorHAnsi" w:hAnsiTheme="majorHAnsi"/>
        </w:rPr>
        <w:t xml:space="preserve">  The Hearing Judge, having read the typed transcripts and documents from the Local Board </w:t>
      </w:r>
      <w:r w:rsidR="006F3EF4">
        <w:rPr>
          <w:rFonts w:asciiTheme="majorHAnsi" w:hAnsiTheme="majorHAnsi"/>
        </w:rPr>
        <w:t>h</w:t>
      </w:r>
      <w:r w:rsidR="00D80A8B" w:rsidRPr="006F3EF4">
        <w:rPr>
          <w:rFonts w:asciiTheme="majorHAnsi" w:hAnsiTheme="majorHAnsi"/>
        </w:rPr>
        <w:t xml:space="preserve">earing, the evidence and testimony submitted during the Local Board </w:t>
      </w:r>
      <w:r w:rsidR="006F3EF4">
        <w:rPr>
          <w:rFonts w:asciiTheme="majorHAnsi" w:hAnsiTheme="majorHAnsi"/>
        </w:rPr>
        <w:t>h</w:t>
      </w:r>
      <w:r w:rsidR="00D80A8B" w:rsidRPr="006F3EF4">
        <w:rPr>
          <w:rFonts w:asciiTheme="majorHAnsi" w:hAnsiTheme="majorHAnsi"/>
        </w:rPr>
        <w:t xml:space="preserve">earing and the contents of the entire file, as well as having taken </w:t>
      </w:r>
      <w:r w:rsidR="006F3EF4">
        <w:rPr>
          <w:rFonts w:asciiTheme="majorHAnsi" w:hAnsiTheme="majorHAnsi"/>
        </w:rPr>
        <w:t>judicial</w:t>
      </w:r>
      <w:r w:rsidR="00D80A8B" w:rsidRPr="006F3EF4">
        <w:rPr>
          <w:rFonts w:asciiTheme="majorHAnsi" w:hAnsiTheme="majorHAnsi"/>
        </w:rPr>
        <w:t xml:space="preserve"> notice of the same</w:t>
      </w:r>
      <w:r w:rsidR="00C2772B">
        <w:rPr>
          <w:rFonts w:asciiTheme="majorHAnsi" w:hAnsiTheme="majorHAnsi"/>
        </w:rPr>
        <w:t>,</w:t>
      </w:r>
      <w:r w:rsidR="00D80A8B" w:rsidRPr="006F3EF4">
        <w:rPr>
          <w:rFonts w:asciiTheme="majorHAnsi" w:hAnsiTheme="majorHAnsi"/>
        </w:rPr>
        <w:t xml:space="preserve"> as well as the codes and standards adopted by the State of Indiana, now tenders Proposed Findings and Conclusions of Law to the Commission for its consideration.</w:t>
      </w:r>
    </w:p>
    <w:p w:rsidR="00D80A8B" w:rsidRPr="006F3EF4" w:rsidRDefault="00D80A8B" w:rsidP="00D80A8B">
      <w:pPr>
        <w:ind w:firstLine="720"/>
        <w:rPr>
          <w:rFonts w:asciiTheme="majorHAnsi" w:hAnsiTheme="majorHAnsi"/>
        </w:rPr>
      </w:pPr>
    </w:p>
    <w:p w:rsidR="00D80A8B" w:rsidRPr="00C2772B" w:rsidRDefault="00D80A8B" w:rsidP="00C2772B">
      <w:pPr>
        <w:pStyle w:val="Heading1"/>
        <w:spacing w:before="120" w:after="120"/>
        <w:jc w:val="center"/>
        <w:rPr>
          <w:rFonts w:asciiTheme="majorHAnsi" w:hAnsiTheme="majorHAnsi"/>
        </w:rPr>
      </w:pPr>
      <w:r w:rsidRPr="006F3EF4">
        <w:rPr>
          <w:rFonts w:asciiTheme="majorHAnsi" w:hAnsiTheme="majorHAnsi"/>
        </w:rPr>
        <w:t>Procedural History</w:t>
      </w:r>
    </w:p>
    <w:p w:rsidR="00D80A8B" w:rsidRPr="006F3EF4" w:rsidRDefault="00D80A8B" w:rsidP="00D80A8B">
      <w:pPr>
        <w:widowControl/>
        <w:numPr>
          <w:ilvl w:val="0"/>
          <w:numId w:val="10"/>
        </w:numPr>
        <w:autoSpaceDE/>
        <w:autoSpaceDN/>
        <w:adjustRightInd/>
        <w:jc w:val="both"/>
        <w:rPr>
          <w:rFonts w:asciiTheme="majorHAnsi" w:hAnsiTheme="majorHAnsi"/>
        </w:rPr>
      </w:pPr>
      <w:r w:rsidRPr="006F3EF4">
        <w:rPr>
          <w:rFonts w:asciiTheme="majorHAnsi" w:hAnsiTheme="majorHAnsi"/>
        </w:rPr>
        <w:t xml:space="preserve">On </w:t>
      </w:r>
      <w:r w:rsidR="00026B52">
        <w:rPr>
          <w:rFonts w:asciiTheme="majorHAnsi" w:hAnsiTheme="majorHAnsi"/>
        </w:rPr>
        <w:t>April 9</w:t>
      </w:r>
      <w:r w:rsidR="001A72FB">
        <w:rPr>
          <w:rFonts w:asciiTheme="majorHAnsi" w:hAnsiTheme="majorHAnsi"/>
        </w:rPr>
        <w:t>, 201</w:t>
      </w:r>
      <w:r w:rsidR="00026B52">
        <w:rPr>
          <w:rFonts w:asciiTheme="majorHAnsi" w:hAnsiTheme="majorHAnsi"/>
        </w:rPr>
        <w:t>2</w:t>
      </w:r>
      <w:r w:rsidRPr="006F3EF4">
        <w:rPr>
          <w:rFonts w:asciiTheme="majorHAnsi" w:hAnsiTheme="majorHAnsi"/>
        </w:rPr>
        <w:t xml:space="preserve">, </w:t>
      </w:r>
      <w:r w:rsidR="006F3EF4">
        <w:rPr>
          <w:rFonts w:asciiTheme="majorHAnsi" w:hAnsiTheme="majorHAnsi"/>
        </w:rPr>
        <w:t>Applicant</w:t>
      </w:r>
      <w:r w:rsidRPr="006F3EF4">
        <w:rPr>
          <w:rFonts w:asciiTheme="majorHAnsi" w:hAnsiTheme="majorHAnsi"/>
        </w:rPr>
        <w:t xml:space="preserve"> submitted an application to the Commission for </w:t>
      </w:r>
      <w:r w:rsidR="00026B52">
        <w:rPr>
          <w:rFonts w:asciiTheme="majorHAnsi" w:hAnsiTheme="majorHAnsi"/>
        </w:rPr>
        <w:t>a new permit type 115, numbered DL43-29022 (</w:t>
      </w:r>
      <w:r w:rsidR="00E1786A">
        <w:rPr>
          <w:rFonts w:asciiTheme="majorHAnsi" w:hAnsiTheme="majorHAnsi"/>
        </w:rPr>
        <w:t>“</w:t>
      </w:r>
      <w:r w:rsidR="00026B52">
        <w:rPr>
          <w:rFonts w:asciiTheme="majorHAnsi" w:hAnsiTheme="majorHAnsi"/>
        </w:rPr>
        <w:t>Permit</w:t>
      </w:r>
      <w:r w:rsidR="00E1786A">
        <w:rPr>
          <w:rFonts w:asciiTheme="majorHAnsi" w:hAnsiTheme="majorHAnsi"/>
        </w:rPr>
        <w:t>”</w:t>
      </w:r>
      <w:r w:rsidR="00026B52">
        <w:rPr>
          <w:rFonts w:asciiTheme="majorHAnsi" w:hAnsiTheme="majorHAnsi"/>
        </w:rPr>
        <w:t>).</w:t>
      </w:r>
    </w:p>
    <w:p w:rsidR="00D80A8B" w:rsidRPr="006F3EF4" w:rsidRDefault="00D80A8B" w:rsidP="00D80A8B">
      <w:pPr>
        <w:rPr>
          <w:rFonts w:asciiTheme="majorHAnsi" w:hAnsiTheme="majorHAnsi"/>
        </w:rPr>
      </w:pPr>
    </w:p>
    <w:p w:rsidR="00D80A8B" w:rsidRDefault="00D80A8B" w:rsidP="00D80A8B">
      <w:pPr>
        <w:widowControl/>
        <w:numPr>
          <w:ilvl w:val="0"/>
          <w:numId w:val="10"/>
        </w:numPr>
        <w:autoSpaceDE/>
        <w:autoSpaceDN/>
        <w:adjustRightInd/>
        <w:jc w:val="both"/>
        <w:rPr>
          <w:rFonts w:asciiTheme="majorHAnsi" w:hAnsiTheme="majorHAnsi"/>
        </w:rPr>
      </w:pPr>
      <w:r w:rsidRPr="006F3EF4">
        <w:rPr>
          <w:rFonts w:asciiTheme="majorHAnsi" w:hAnsiTheme="majorHAnsi"/>
        </w:rPr>
        <w:t xml:space="preserve">On </w:t>
      </w:r>
      <w:r w:rsidR="00026B52">
        <w:rPr>
          <w:rFonts w:asciiTheme="majorHAnsi" w:hAnsiTheme="majorHAnsi"/>
        </w:rPr>
        <w:t>July 5</w:t>
      </w:r>
      <w:r w:rsidR="001A72FB">
        <w:rPr>
          <w:rFonts w:asciiTheme="majorHAnsi" w:hAnsiTheme="majorHAnsi"/>
        </w:rPr>
        <w:t>, 201</w:t>
      </w:r>
      <w:r w:rsidR="00B825BF">
        <w:rPr>
          <w:rFonts w:asciiTheme="majorHAnsi" w:hAnsiTheme="majorHAnsi"/>
        </w:rPr>
        <w:t>2</w:t>
      </w:r>
      <w:r w:rsidRPr="006F3EF4">
        <w:rPr>
          <w:rFonts w:asciiTheme="majorHAnsi" w:hAnsiTheme="majorHAnsi"/>
        </w:rPr>
        <w:t xml:space="preserve">, </w:t>
      </w:r>
      <w:r w:rsidR="00E83C39">
        <w:rPr>
          <w:rFonts w:asciiTheme="majorHAnsi" w:hAnsiTheme="majorHAnsi"/>
        </w:rPr>
        <w:t xml:space="preserve">the Local Board voted </w:t>
      </w:r>
      <w:r w:rsidR="00026B52">
        <w:rPr>
          <w:rFonts w:asciiTheme="majorHAnsi" w:hAnsiTheme="majorHAnsi"/>
        </w:rPr>
        <w:t>3</w:t>
      </w:r>
      <w:r w:rsidR="001A72FB">
        <w:rPr>
          <w:rFonts w:asciiTheme="majorHAnsi" w:hAnsiTheme="majorHAnsi"/>
        </w:rPr>
        <w:t>-</w:t>
      </w:r>
      <w:r w:rsidR="00026B52">
        <w:rPr>
          <w:rFonts w:asciiTheme="majorHAnsi" w:hAnsiTheme="majorHAnsi"/>
        </w:rPr>
        <w:t>1</w:t>
      </w:r>
      <w:r w:rsidR="00E83C39">
        <w:rPr>
          <w:rFonts w:asciiTheme="majorHAnsi" w:hAnsiTheme="majorHAnsi"/>
        </w:rPr>
        <w:t xml:space="preserve"> </w:t>
      </w:r>
      <w:r w:rsidR="001A72FB">
        <w:rPr>
          <w:rFonts w:asciiTheme="majorHAnsi" w:hAnsiTheme="majorHAnsi"/>
        </w:rPr>
        <w:t>to recommend denial of the application for renewal.</w:t>
      </w:r>
    </w:p>
    <w:p w:rsidR="00E83C39" w:rsidRPr="006F3EF4" w:rsidRDefault="00E83C39" w:rsidP="00E83C39">
      <w:pPr>
        <w:widowControl/>
        <w:autoSpaceDE/>
        <w:autoSpaceDN/>
        <w:adjustRightInd/>
        <w:ind w:left="720"/>
        <w:jc w:val="both"/>
        <w:rPr>
          <w:rFonts w:asciiTheme="majorHAnsi" w:hAnsiTheme="majorHAnsi"/>
        </w:rPr>
      </w:pPr>
    </w:p>
    <w:p w:rsidR="00D80A8B" w:rsidRPr="006F3EF4" w:rsidRDefault="001A72FB"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026B52">
        <w:rPr>
          <w:rFonts w:asciiTheme="majorHAnsi" w:hAnsiTheme="majorHAnsi"/>
        </w:rPr>
        <w:t>August 7</w:t>
      </w:r>
      <w:r>
        <w:rPr>
          <w:rFonts w:asciiTheme="majorHAnsi" w:hAnsiTheme="majorHAnsi"/>
        </w:rPr>
        <w:t>, 201</w:t>
      </w:r>
      <w:r w:rsidR="00026B52">
        <w:rPr>
          <w:rFonts w:asciiTheme="majorHAnsi" w:hAnsiTheme="majorHAnsi"/>
        </w:rPr>
        <w:t>2, the Commission voted 4</w:t>
      </w:r>
      <w:r>
        <w:rPr>
          <w:rFonts w:asciiTheme="majorHAnsi" w:hAnsiTheme="majorHAnsi"/>
        </w:rPr>
        <w:t>-0 to adopt the recommendation of the Local Board to deny the application for renewal</w:t>
      </w:r>
      <w:r w:rsidR="00E83C39">
        <w:rPr>
          <w:rFonts w:asciiTheme="majorHAnsi" w:hAnsiTheme="majorHAnsi"/>
        </w:rPr>
        <w:t>.</w:t>
      </w:r>
    </w:p>
    <w:p w:rsidR="00D80A8B" w:rsidRPr="006F3EF4" w:rsidRDefault="00D80A8B" w:rsidP="00D80A8B">
      <w:pPr>
        <w:rPr>
          <w:rFonts w:asciiTheme="majorHAnsi" w:hAnsiTheme="majorHAnsi"/>
        </w:rPr>
      </w:pPr>
    </w:p>
    <w:p w:rsidR="00E83C39" w:rsidRDefault="001A72FB"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026B52">
        <w:rPr>
          <w:rFonts w:asciiTheme="majorHAnsi" w:hAnsiTheme="majorHAnsi"/>
        </w:rPr>
        <w:t>December 20, 2012</w:t>
      </w:r>
      <w:r>
        <w:rPr>
          <w:rFonts w:asciiTheme="majorHAnsi" w:hAnsiTheme="majorHAnsi"/>
        </w:rPr>
        <w:t>, the Hearing Judge heard the Applicant’s appeal of the Commission’s denial of the application for renewal.</w:t>
      </w:r>
    </w:p>
    <w:p w:rsidR="00E83C39" w:rsidRDefault="00E83C39" w:rsidP="00E83C39">
      <w:pPr>
        <w:pStyle w:val="ListParagraph"/>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Evidence Before the Local Board</w:t>
      </w: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individuals testified before the Local Board on </w:t>
      </w:r>
      <w:r w:rsidR="00E1786A">
        <w:rPr>
          <w:rFonts w:asciiTheme="majorHAnsi" w:hAnsiTheme="majorHAnsi"/>
        </w:rPr>
        <w:t>July 5, 2012</w:t>
      </w:r>
      <w:r w:rsidR="00C2772B">
        <w:rPr>
          <w:rFonts w:asciiTheme="majorHAnsi" w:hAnsiTheme="majorHAnsi"/>
        </w:rPr>
        <w:t>,</w:t>
      </w:r>
      <w:r w:rsidRPr="006F3EF4">
        <w:rPr>
          <w:rFonts w:asciiTheme="majorHAnsi" w:hAnsiTheme="majorHAnsi"/>
        </w:rPr>
        <w:t xml:space="preserv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D80A8B" w:rsidP="00D80A8B">
      <w:pPr>
        <w:widowControl/>
        <w:numPr>
          <w:ilvl w:val="1"/>
          <w:numId w:val="12"/>
        </w:numPr>
        <w:autoSpaceDE/>
        <w:autoSpaceDN/>
        <w:adjustRightInd/>
        <w:jc w:val="both"/>
        <w:rPr>
          <w:rFonts w:asciiTheme="majorHAnsi" w:hAnsiTheme="majorHAnsi"/>
        </w:rPr>
      </w:pPr>
      <w:r w:rsidRPr="006F3EF4">
        <w:rPr>
          <w:rFonts w:asciiTheme="majorHAnsi" w:hAnsiTheme="majorHAnsi"/>
        </w:rPr>
        <w:t xml:space="preserve">The </w:t>
      </w:r>
      <w:r w:rsidR="006F3EF4">
        <w:rPr>
          <w:rFonts w:asciiTheme="majorHAnsi" w:hAnsiTheme="majorHAnsi"/>
        </w:rPr>
        <w:t>Applicant</w:t>
      </w:r>
      <w:r w:rsidRPr="006F3EF4">
        <w:rPr>
          <w:rFonts w:asciiTheme="majorHAnsi" w:hAnsiTheme="majorHAnsi"/>
        </w:rPr>
        <w:t xml:space="preserve">, </w:t>
      </w:r>
      <w:proofErr w:type="spellStart"/>
      <w:r w:rsidR="007300A1">
        <w:rPr>
          <w:rFonts w:asciiTheme="majorHAnsi" w:hAnsiTheme="majorHAnsi"/>
        </w:rPr>
        <w:t>Nirmal</w:t>
      </w:r>
      <w:proofErr w:type="spellEnd"/>
      <w:r w:rsidR="007300A1">
        <w:rPr>
          <w:rFonts w:asciiTheme="majorHAnsi" w:hAnsiTheme="majorHAnsi"/>
        </w:rPr>
        <w:t xml:space="preserve"> </w:t>
      </w:r>
      <w:proofErr w:type="spellStart"/>
      <w:r w:rsidR="007300A1">
        <w:rPr>
          <w:rFonts w:asciiTheme="majorHAnsi" w:hAnsiTheme="majorHAnsi"/>
        </w:rPr>
        <w:t>Gujjar</w:t>
      </w:r>
      <w:proofErr w:type="spellEnd"/>
      <w:r w:rsidR="00C2772B">
        <w:rPr>
          <w:rFonts w:asciiTheme="majorHAnsi" w:hAnsiTheme="majorHAnsi"/>
        </w:rPr>
        <w:t>,</w:t>
      </w:r>
      <w:r w:rsidR="007300A1">
        <w:rPr>
          <w:rFonts w:asciiTheme="majorHAnsi" w:hAnsiTheme="majorHAnsi"/>
        </w:rPr>
        <w:t xml:space="preserve"> owner of </w:t>
      </w:r>
      <w:proofErr w:type="spellStart"/>
      <w:r w:rsidR="007300A1">
        <w:rPr>
          <w:rFonts w:asciiTheme="majorHAnsi" w:hAnsiTheme="majorHAnsi"/>
        </w:rPr>
        <w:t>Nirmal</w:t>
      </w:r>
      <w:proofErr w:type="spellEnd"/>
      <w:r w:rsidR="007300A1">
        <w:rPr>
          <w:rFonts w:asciiTheme="majorHAnsi" w:hAnsiTheme="majorHAnsi"/>
        </w:rPr>
        <w:t xml:space="preserve"> Petroleum Inc</w:t>
      </w:r>
      <w:r w:rsidR="00C2772B">
        <w:rPr>
          <w:rFonts w:asciiTheme="majorHAnsi" w:hAnsiTheme="majorHAnsi"/>
        </w:rPr>
        <w:t>.,</w:t>
      </w:r>
      <w:r w:rsidRPr="006F3EF4">
        <w:rPr>
          <w:rFonts w:asciiTheme="majorHAnsi" w:hAnsiTheme="majorHAnsi"/>
        </w:rPr>
        <w:t xml:space="preserve"> responded to questions from the Local Board.</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Local Board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rPr>
          <w:rFonts w:asciiTheme="majorHAnsi" w:hAnsiTheme="majorHAnsi"/>
        </w:rPr>
      </w:pPr>
    </w:p>
    <w:p w:rsidR="00D80A8B" w:rsidRPr="006F3EF4" w:rsidRDefault="00D80A8B" w:rsidP="00D80A8B">
      <w:pPr>
        <w:widowControl/>
        <w:numPr>
          <w:ilvl w:val="1"/>
          <w:numId w:val="12"/>
        </w:numPr>
        <w:autoSpaceDE/>
        <w:autoSpaceDN/>
        <w:adjustRightInd/>
        <w:jc w:val="both"/>
        <w:rPr>
          <w:rFonts w:asciiTheme="majorHAnsi" w:hAnsiTheme="majorHAnsi"/>
        </w:rPr>
      </w:pPr>
      <w:r w:rsidRPr="006F3EF4">
        <w:rPr>
          <w:rFonts w:asciiTheme="majorHAnsi" w:hAnsiTheme="majorHAnsi"/>
        </w:rPr>
        <w:t>None.</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individuals testified before the Local Board on </w:t>
      </w:r>
      <w:r w:rsidR="00E1786A">
        <w:rPr>
          <w:rFonts w:asciiTheme="majorHAnsi" w:hAnsiTheme="majorHAnsi"/>
        </w:rPr>
        <w:t>July 5, 2012</w:t>
      </w:r>
      <w:r w:rsidR="00C2772B">
        <w:rPr>
          <w:rFonts w:asciiTheme="majorHAnsi" w:hAnsiTheme="majorHAnsi"/>
        </w:rPr>
        <w:t>,</w:t>
      </w:r>
      <w:r w:rsidR="00E1786A">
        <w:rPr>
          <w:rFonts w:asciiTheme="majorHAnsi" w:hAnsiTheme="majorHAnsi"/>
        </w:rPr>
        <w:t xml:space="preserve"> </w:t>
      </w:r>
      <w:r w:rsidRPr="006F3EF4">
        <w:rPr>
          <w:rFonts w:asciiTheme="majorHAnsi" w:hAnsiTheme="majorHAnsi"/>
        </w:rPr>
        <w:t xml:space="preserve">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7300A1" w:rsidP="00D80A8B">
      <w:pPr>
        <w:widowControl/>
        <w:numPr>
          <w:ilvl w:val="1"/>
          <w:numId w:val="12"/>
        </w:numPr>
        <w:autoSpaceDE/>
        <w:autoSpaceDN/>
        <w:adjustRightInd/>
        <w:jc w:val="both"/>
        <w:rPr>
          <w:rFonts w:asciiTheme="majorHAnsi" w:hAnsiTheme="majorHAnsi"/>
        </w:rPr>
      </w:pPr>
      <w:r>
        <w:rPr>
          <w:rFonts w:asciiTheme="majorHAnsi" w:hAnsiTheme="majorHAnsi"/>
        </w:rPr>
        <w:t>Judy Timmons, resident of Leesburg</w:t>
      </w:r>
      <w:r w:rsidR="00D80A8B" w:rsidRPr="006F3EF4">
        <w:rPr>
          <w:rFonts w:asciiTheme="majorHAnsi" w:hAnsiTheme="majorHAnsi"/>
        </w:rPr>
        <w:t>.</w:t>
      </w:r>
    </w:p>
    <w:p w:rsidR="00D80A8B" w:rsidRPr="006F3EF4" w:rsidRDefault="00D80A8B" w:rsidP="00D80A8B">
      <w:pPr>
        <w:rPr>
          <w:rFonts w:asciiTheme="majorHAnsi" w:hAnsiTheme="majorHAnsi"/>
        </w:rPr>
      </w:pP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Local Board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7300A1" w:rsidP="00D80A8B">
      <w:pPr>
        <w:widowControl/>
        <w:numPr>
          <w:ilvl w:val="1"/>
          <w:numId w:val="12"/>
        </w:numPr>
        <w:autoSpaceDE/>
        <w:autoSpaceDN/>
        <w:adjustRightInd/>
        <w:jc w:val="both"/>
        <w:rPr>
          <w:rFonts w:asciiTheme="majorHAnsi" w:hAnsiTheme="majorHAnsi"/>
        </w:rPr>
      </w:pPr>
      <w:r>
        <w:rPr>
          <w:rFonts w:asciiTheme="majorHAnsi" w:hAnsiTheme="majorHAnsi"/>
        </w:rPr>
        <w:t>None</w:t>
      </w:r>
      <w:r w:rsidR="00D80A8B" w:rsidRPr="006F3EF4">
        <w:rPr>
          <w:rFonts w:asciiTheme="majorHAnsi" w:hAnsiTheme="majorHAnsi"/>
        </w:rPr>
        <w:t xml:space="preserve">. </w:t>
      </w:r>
    </w:p>
    <w:p w:rsidR="00D80A8B" w:rsidRPr="006F3EF4" w:rsidRDefault="00D80A8B" w:rsidP="00D80A8B">
      <w:pPr>
        <w:ind w:left="360"/>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 xml:space="preserve">Evidence </w:t>
      </w:r>
      <w:proofErr w:type="gramStart"/>
      <w:r w:rsidRPr="006F3EF4">
        <w:rPr>
          <w:rFonts w:asciiTheme="majorHAnsi" w:hAnsiTheme="majorHAnsi"/>
        </w:rPr>
        <w:t>Before</w:t>
      </w:r>
      <w:proofErr w:type="gramEnd"/>
      <w:r w:rsidRPr="006F3EF4">
        <w:rPr>
          <w:rFonts w:asciiTheme="majorHAnsi" w:hAnsiTheme="majorHAnsi"/>
        </w:rPr>
        <w:t xml:space="preserve"> the Commission</w:t>
      </w: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The contents of the entire Commission file regarding the Permit (“ATC File”).</w:t>
      </w:r>
    </w:p>
    <w:p w:rsidR="00D80A8B" w:rsidRPr="006F3EF4" w:rsidRDefault="00D80A8B" w:rsidP="00D80A8B">
      <w:pPr>
        <w:ind w:left="36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individuals testified at the Appeal Hearing on December </w:t>
      </w:r>
      <w:r w:rsidR="00E1786A">
        <w:rPr>
          <w:rFonts w:asciiTheme="majorHAnsi" w:hAnsiTheme="majorHAnsi"/>
        </w:rPr>
        <w:t>20,</w:t>
      </w:r>
      <w:r w:rsidRPr="006F3EF4">
        <w:rPr>
          <w:rFonts w:asciiTheme="majorHAnsi" w:hAnsiTheme="majorHAnsi"/>
        </w:rPr>
        <w:t xml:space="preserve"> 201</w:t>
      </w:r>
      <w:r w:rsidR="00E1786A">
        <w:rPr>
          <w:rFonts w:asciiTheme="majorHAnsi" w:hAnsiTheme="majorHAnsi"/>
        </w:rPr>
        <w:t>2</w:t>
      </w:r>
      <w:r w:rsidR="00C2772B">
        <w:rPr>
          <w:rFonts w:asciiTheme="majorHAnsi" w:hAnsiTheme="majorHAnsi"/>
        </w:rPr>
        <w:t>,</w:t>
      </w:r>
      <w:r w:rsidRPr="006F3EF4">
        <w:rPr>
          <w:rFonts w:asciiTheme="majorHAnsi" w:hAnsiTheme="majorHAnsi"/>
        </w:rPr>
        <w:t xml:space="preserv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D80A8B" w:rsidP="00D80A8B">
      <w:pPr>
        <w:widowControl/>
        <w:numPr>
          <w:ilvl w:val="1"/>
          <w:numId w:val="13"/>
        </w:numPr>
        <w:autoSpaceDE/>
        <w:autoSpaceDN/>
        <w:adjustRightInd/>
        <w:jc w:val="both"/>
        <w:rPr>
          <w:rFonts w:asciiTheme="majorHAnsi" w:hAnsiTheme="majorHAnsi"/>
        </w:rPr>
      </w:pPr>
      <w:r w:rsidRPr="006F3EF4">
        <w:rPr>
          <w:rFonts w:asciiTheme="majorHAnsi" w:hAnsiTheme="majorHAnsi"/>
        </w:rPr>
        <w:t xml:space="preserve">The </w:t>
      </w:r>
      <w:r w:rsidR="006F3EF4">
        <w:rPr>
          <w:rFonts w:asciiTheme="majorHAnsi" w:hAnsiTheme="majorHAnsi"/>
        </w:rPr>
        <w:t>Applicant</w:t>
      </w:r>
      <w:r w:rsidRPr="006F3EF4">
        <w:rPr>
          <w:rFonts w:asciiTheme="majorHAnsi" w:hAnsiTheme="majorHAnsi"/>
        </w:rPr>
        <w:t xml:space="preserve">, </w:t>
      </w:r>
      <w:proofErr w:type="spellStart"/>
      <w:r w:rsidR="007300A1">
        <w:rPr>
          <w:rFonts w:asciiTheme="majorHAnsi" w:hAnsiTheme="majorHAnsi"/>
        </w:rPr>
        <w:t>Nirmal</w:t>
      </w:r>
      <w:proofErr w:type="spellEnd"/>
      <w:r w:rsidR="007300A1">
        <w:rPr>
          <w:rFonts w:asciiTheme="majorHAnsi" w:hAnsiTheme="majorHAnsi"/>
        </w:rPr>
        <w:t xml:space="preserve"> </w:t>
      </w:r>
      <w:proofErr w:type="spellStart"/>
      <w:r w:rsidR="007300A1">
        <w:rPr>
          <w:rFonts w:asciiTheme="majorHAnsi" w:hAnsiTheme="majorHAnsi"/>
        </w:rPr>
        <w:t>Gujjar</w:t>
      </w:r>
      <w:proofErr w:type="spellEnd"/>
      <w:r w:rsidRPr="006F3EF4">
        <w:rPr>
          <w:rFonts w:asciiTheme="majorHAnsi" w:hAnsiTheme="majorHAnsi"/>
        </w:rPr>
        <w:t>.</w:t>
      </w:r>
    </w:p>
    <w:p w:rsidR="00D80A8B" w:rsidRPr="006F3EF4" w:rsidRDefault="00D80A8B" w:rsidP="00D80A8B">
      <w:pPr>
        <w:ind w:left="1080"/>
        <w:rPr>
          <w:rFonts w:asciiTheme="majorHAnsi" w:hAnsiTheme="majorHAnsi"/>
        </w:rPr>
      </w:pPr>
    </w:p>
    <w:p w:rsidR="00D80A8B" w:rsidRPr="006F3EF4" w:rsidRDefault="006F3EF4" w:rsidP="00D80A8B">
      <w:pPr>
        <w:widowControl/>
        <w:numPr>
          <w:ilvl w:val="1"/>
          <w:numId w:val="13"/>
        </w:numPr>
        <w:autoSpaceDE/>
        <w:autoSpaceDN/>
        <w:adjustRightInd/>
        <w:jc w:val="both"/>
        <w:rPr>
          <w:rFonts w:asciiTheme="majorHAnsi" w:hAnsiTheme="majorHAnsi"/>
        </w:rPr>
      </w:pPr>
      <w:r>
        <w:rPr>
          <w:rFonts w:asciiTheme="majorHAnsi" w:hAnsiTheme="majorHAnsi"/>
        </w:rPr>
        <w:t>Applicant</w:t>
      </w:r>
      <w:r w:rsidR="00D80A8B" w:rsidRPr="006F3EF4">
        <w:rPr>
          <w:rFonts w:asciiTheme="majorHAnsi" w:hAnsiTheme="majorHAnsi"/>
        </w:rPr>
        <w:t xml:space="preserve"> was represented by legal counsel</w:t>
      </w:r>
      <w:r w:rsidR="00C2772B">
        <w:rPr>
          <w:rFonts w:asciiTheme="majorHAnsi" w:hAnsiTheme="majorHAnsi"/>
        </w:rPr>
        <w:t>,</w:t>
      </w:r>
      <w:r w:rsidR="00D80A8B" w:rsidRPr="006F3EF4">
        <w:rPr>
          <w:rFonts w:asciiTheme="majorHAnsi" w:hAnsiTheme="majorHAnsi"/>
        </w:rPr>
        <w:t xml:space="preserve"> </w:t>
      </w:r>
      <w:r w:rsidR="007300A1">
        <w:rPr>
          <w:rFonts w:asciiTheme="majorHAnsi" w:hAnsiTheme="majorHAnsi"/>
        </w:rPr>
        <w:t>Bryon Berry.</w:t>
      </w:r>
    </w:p>
    <w:p w:rsidR="00D80A8B" w:rsidRPr="006F3EF4" w:rsidRDefault="00D80A8B" w:rsidP="00D80A8B">
      <w:pPr>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Hearing Judge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D80A8B" w:rsidP="00D80A8B">
      <w:pPr>
        <w:widowControl/>
        <w:numPr>
          <w:ilvl w:val="1"/>
          <w:numId w:val="13"/>
        </w:numPr>
        <w:autoSpaceDE/>
        <w:autoSpaceDN/>
        <w:adjustRightInd/>
        <w:jc w:val="both"/>
        <w:rPr>
          <w:rFonts w:asciiTheme="majorHAnsi" w:hAnsiTheme="majorHAnsi"/>
        </w:rPr>
      </w:pPr>
      <w:r w:rsidRPr="006F3EF4">
        <w:rPr>
          <w:rFonts w:asciiTheme="majorHAnsi" w:hAnsiTheme="majorHAnsi"/>
        </w:rPr>
        <w:t>E</w:t>
      </w:r>
      <w:r w:rsidR="007300A1">
        <w:rPr>
          <w:rFonts w:asciiTheme="majorHAnsi" w:hAnsiTheme="majorHAnsi"/>
        </w:rPr>
        <w:t>xhibit 1</w:t>
      </w:r>
      <w:r w:rsidR="000C51CC">
        <w:rPr>
          <w:rFonts w:asciiTheme="majorHAnsi" w:hAnsiTheme="majorHAnsi"/>
        </w:rPr>
        <w:t xml:space="preserve">: </w:t>
      </w:r>
      <w:r w:rsidRPr="006F3EF4">
        <w:rPr>
          <w:rFonts w:asciiTheme="majorHAnsi" w:hAnsiTheme="majorHAnsi"/>
        </w:rPr>
        <w:t xml:space="preserve"> </w:t>
      </w:r>
      <w:r w:rsidR="000C51CC">
        <w:rPr>
          <w:rFonts w:asciiTheme="majorHAnsi" w:hAnsiTheme="majorHAnsi"/>
        </w:rPr>
        <w:t>A</w:t>
      </w:r>
      <w:r w:rsidRPr="006F3EF4">
        <w:rPr>
          <w:rFonts w:asciiTheme="majorHAnsi" w:hAnsiTheme="majorHAnsi"/>
        </w:rPr>
        <w:t xml:space="preserve"> </w:t>
      </w:r>
      <w:r w:rsidR="007300A1">
        <w:rPr>
          <w:rFonts w:asciiTheme="majorHAnsi" w:hAnsiTheme="majorHAnsi"/>
        </w:rPr>
        <w:t>map of Kosciusko County</w:t>
      </w:r>
      <w:r w:rsidRPr="006F3EF4">
        <w:rPr>
          <w:rFonts w:asciiTheme="majorHAnsi" w:hAnsiTheme="majorHAnsi"/>
        </w:rPr>
        <w:t>.</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individuals testified at </w:t>
      </w:r>
      <w:r w:rsidR="00E1786A">
        <w:rPr>
          <w:rFonts w:asciiTheme="majorHAnsi" w:hAnsiTheme="majorHAnsi"/>
        </w:rPr>
        <w:t>the Appeal Hearing on December 20</w:t>
      </w:r>
      <w:r w:rsidRPr="006F3EF4">
        <w:rPr>
          <w:rFonts w:asciiTheme="majorHAnsi" w:hAnsiTheme="majorHAnsi"/>
        </w:rPr>
        <w:t>, 201</w:t>
      </w:r>
      <w:r w:rsidR="00E1786A">
        <w:rPr>
          <w:rFonts w:asciiTheme="majorHAnsi" w:hAnsiTheme="majorHAnsi"/>
        </w:rPr>
        <w:t>2</w:t>
      </w:r>
      <w:r w:rsidR="00C2772B">
        <w:rPr>
          <w:rFonts w:asciiTheme="majorHAnsi" w:hAnsiTheme="majorHAnsi"/>
        </w:rPr>
        <w:t>,</w:t>
      </w:r>
      <w:r w:rsidRPr="006F3EF4">
        <w:rPr>
          <w:rFonts w:asciiTheme="majorHAnsi" w:hAnsiTheme="majorHAnsi"/>
        </w:rPr>
        <w:t xml:space="preserve">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D80A8B" w:rsidP="00D80A8B">
      <w:pPr>
        <w:widowControl/>
        <w:numPr>
          <w:ilvl w:val="1"/>
          <w:numId w:val="13"/>
        </w:numPr>
        <w:autoSpaceDE/>
        <w:autoSpaceDN/>
        <w:adjustRightInd/>
        <w:jc w:val="both"/>
        <w:rPr>
          <w:rFonts w:asciiTheme="majorHAnsi" w:hAnsiTheme="majorHAnsi"/>
        </w:rPr>
      </w:pPr>
      <w:r w:rsidRPr="006F3EF4">
        <w:rPr>
          <w:rFonts w:asciiTheme="majorHAnsi" w:hAnsiTheme="majorHAnsi"/>
        </w:rPr>
        <w:t>None.  There were no sworn remonstrators.</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Hearing Judge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D80A8B" w:rsidP="00D80A8B">
      <w:pPr>
        <w:widowControl/>
        <w:numPr>
          <w:ilvl w:val="1"/>
          <w:numId w:val="13"/>
        </w:numPr>
        <w:autoSpaceDE/>
        <w:autoSpaceDN/>
        <w:adjustRightInd/>
        <w:jc w:val="both"/>
        <w:rPr>
          <w:rFonts w:asciiTheme="majorHAnsi" w:hAnsiTheme="majorHAnsi"/>
        </w:rPr>
      </w:pPr>
      <w:r w:rsidRPr="006F3EF4">
        <w:rPr>
          <w:rFonts w:asciiTheme="majorHAnsi" w:hAnsiTheme="majorHAnsi"/>
        </w:rPr>
        <w:t xml:space="preserve">None. </w:t>
      </w:r>
    </w:p>
    <w:p w:rsidR="00D80A8B" w:rsidRPr="006F3EF4" w:rsidRDefault="00D80A8B" w:rsidP="00D80A8B">
      <w:pPr>
        <w:ind w:left="360"/>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Findings of Fact</w:t>
      </w:r>
    </w:p>
    <w:p w:rsidR="00D80A8B" w:rsidRDefault="000C51CC" w:rsidP="0055131E">
      <w:pPr>
        <w:widowControl/>
        <w:numPr>
          <w:ilvl w:val="0"/>
          <w:numId w:val="14"/>
        </w:numPr>
        <w:autoSpaceDE/>
        <w:autoSpaceDN/>
        <w:adjustRightInd/>
        <w:spacing w:after="120" w:line="23" w:lineRule="atLeast"/>
        <w:jc w:val="both"/>
        <w:rPr>
          <w:rFonts w:asciiTheme="majorHAnsi" w:hAnsiTheme="majorHAnsi"/>
        </w:rPr>
      </w:pPr>
      <w:r>
        <w:rPr>
          <w:rFonts w:asciiTheme="majorHAnsi" w:hAnsiTheme="majorHAnsi"/>
        </w:rPr>
        <w:t>Applicant</w:t>
      </w:r>
      <w:r w:rsidR="00D80A8B" w:rsidRPr="006F3EF4">
        <w:rPr>
          <w:rFonts w:asciiTheme="majorHAnsi" w:hAnsiTheme="majorHAnsi"/>
        </w:rPr>
        <w:t xml:space="preserve"> is </w:t>
      </w:r>
      <w:r w:rsidR="00320AA6">
        <w:rPr>
          <w:rFonts w:asciiTheme="majorHAnsi" w:hAnsiTheme="majorHAnsi"/>
        </w:rPr>
        <w:t>applying for the aforementioned permit. (Local Board Hearing; ATC File</w:t>
      </w:r>
      <w:r w:rsidR="00D80A8B" w:rsidRPr="006F3EF4">
        <w:rPr>
          <w:rFonts w:asciiTheme="majorHAnsi" w:hAnsiTheme="majorHAnsi"/>
        </w:rPr>
        <w:t>)</w:t>
      </w:r>
      <w:r w:rsidR="00320AA6">
        <w:rPr>
          <w:rFonts w:asciiTheme="majorHAnsi" w:hAnsiTheme="majorHAnsi"/>
        </w:rPr>
        <w:t>.</w:t>
      </w:r>
    </w:p>
    <w:p w:rsidR="0055131E" w:rsidRPr="0055131E" w:rsidRDefault="00FD4D6C" w:rsidP="0055131E">
      <w:pPr>
        <w:widowControl/>
        <w:numPr>
          <w:ilvl w:val="0"/>
          <w:numId w:val="14"/>
        </w:numPr>
        <w:autoSpaceDE/>
        <w:autoSpaceDN/>
        <w:adjustRightInd/>
        <w:spacing w:after="120" w:line="23" w:lineRule="atLeast"/>
        <w:jc w:val="both"/>
        <w:rPr>
          <w:rFonts w:asciiTheme="majorHAnsi" w:hAnsiTheme="majorHAnsi"/>
        </w:rPr>
      </w:pPr>
      <w:r w:rsidRPr="00CC58FE">
        <w:rPr>
          <w:rFonts w:ascii="Cambria" w:hAnsi="Cambria"/>
        </w:rPr>
        <w:t xml:space="preserve">The sole remonstrator </w:t>
      </w:r>
      <w:r w:rsidR="00CF01B1" w:rsidRPr="00CC58FE">
        <w:rPr>
          <w:rFonts w:ascii="Cambria" w:hAnsi="Cambria"/>
        </w:rPr>
        <w:t>stated that she believes there are already enough places to buy alcohol in the community</w:t>
      </w:r>
      <w:r w:rsidRPr="00CC58FE">
        <w:rPr>
          <w:rFonts w:ascii="Cambria" w:hAnsi="Cambria"/>
        </w:rPr>
        <w:t>.</w:t>
      </w:r>
      <w:r w:rsidR="00CF01B1" w:rsidRPr="00CC58FE">
        <w:rPr>
          <w:rFonts w:ascii="Cambria" w:hAnsi="Cambria"/>
        </w:rPr>
        <w:t xml:space="preserve">  </w:t>
      </w:r>
      <w:r w:rsidR="00CC58FE">
        <w:rPr>
          <w:rFonts w:ascii="Cambria" w:hAnsi="Cambria"/>
        </w:rPr>
        <w:t>(Local Board Hearing).</w:t>
      </w:r>
    </w:p>
    <w:p w:rsidR="00CC58FE" w:rsidRPr="00CC58FE" w:rsidRDefault="00CC58FE" w:rsidP="0055131E">
      <w:pPr>
        <w:widowControl/>
        <w:numPr>
          <w:ilvl w:val="0"/>
          <w:numId w:val="14"/>
        </w:numPr>
        <w:autoSpaceDE/>
        <w:autoSpaceDN/>
        <w:adjustRightInd/>
        <w:spacing w:after="120" w:line="23" w:lineRule="atLeast"/>
        <w:jc w:val="both"/>
        <w:rPr>
          <w:rFonts w:asciiTheme="majorHAnsi" w:hAnsiTheme="majorHAnsi"/>
        </w:rPr>
      </w:pPr>
      <w:r>
        <w:rPr>
          <w:rFonts w:ascii="Cambria" w:hAnsi="Cambria"/>
        </w:rPr>
        <w:t>Remonstrator</w:t>
      </w:r>
      <w:r w:rsidR="00CF01B1" w:rsidRPr="00CC58FE">
        <w:rPr>
          <w:rFonts w:ascii="Cambria" w:hAnsi="Cambria"/>
        </w:rPr>
        <w:t xml:space="preserve"> did not speak </w:t>
      </w:r>
      <w:r>
        <w:rPr>
          <w:rFonts w:ascii="Cambria" w:hAnsi="Cambria"/>
        </w:rPr>
        <w:t>to anyone else about the permit or distribute a petition.</w:t>
      </w:r>
      <w:r w:rsidRPr="00CC58FE">
        <w:rPr>
          <w:rFonts w:ascii="Cambria" w:hAnsi="Cambria"/>
        </w:rPr>
        <w:t xml:space="preserve"> </w:t>
      </w:r>
      <w:r>
        <w:rPr>
          <w:rFonts w:ascii="Cambria" w:hAnsi="Cambria"/>
        </w:rPr>
        <w:t>(Local Board Hearing).</w:t>
      </w:r>
    </w:p>
    <w:p w:rsidR="00FD4D6C" w:rsidRPr="00CC58FE" w:rsidRDefault="00CC58FE" w:rsidP="0055131E">
      <w:pPr>
        <w:widowControl/>
        <w:numPr>
          <w:ilvl w:val="0"/>
          <w:numId w:val="14"/>
        </w:numPr>
        <w:autoSpaceDE/>
        <w:autoSpaceDN/>
        <w:adjustRightInd/>
        <w:spacing w:after="120" w:line="23" w:lineRule="atLeast"/>
        <w:jc w:val="both"/>
        <w:rPr>
          <w:rFonts w:asciiTheme="majorHAnsi" w:hAnsiTheme="majorHAnsi"/>
        </w:rPr>
      </w:pPr>
      <w:r>
        <w:rPr>
          <w:rFonts w:ascii="Cambria" w:hAnsi="Cambria"/>
        </w:rPr>
        <w:t>Remonstrator</w:t>
      </w:r>
      <w:r w:rsidR="00CF01B1" w:rsidRPr="00CC58FE">
        <w:rPr>
          <w:rFonts w:ascii="Cambria" w:hAnsi="Cambria"/>
        </w:rPr>
        <w:t xml:space="preserve"> does not personally consume alcohol.</w:t>
      </w:r>
      <w:r w:rsidR="00FD4D6C" w:rsidRPr="00CC58FE">
        <w:rPr>
          <w:rFonts w:ascii="Cambria" w:hAnsi="Cambria"/>
        </w:rPr>
        <w:t xml:space="preserve"> (Local Board Hearing).</w:t>
      </w:r>
    </w:p>
    <w:p w:rsidR="00A2322F" w:rsidRPr="00FD4D6C" w:rsidRDefault="00A2322F" w:rsidP="0055131E">
      <w:pPr>
        <w:widowControl/>
        <w:numPr>
          <w:ilvl w:val="0"/>
          <w:numId w:val="14"/>
        </w:numPr>
        <w:autoSpaceDE/>
        <w:autoSpaceDN/>
        <w:adjustRightInd/>
        <w:spacing w:after="120" w:line="23" w:lineRule="atLeast"/>
        <w:jc w:val="both"/>
        <w:rPr>
          <w:rFonts w:asciiTheme="majorHAnsi" w:hAnsiTheme="majorHAnsi"/>
        </w:rPr>
      </w:pPr>
      <w:r>
        <w:rPr>
          <w:rFonts w:ascii="Cambria" w:hAnsi="Cambria"/>
        </w:rPr>
        <w:t>The Local Board noted that remonstrator had a family history of remonstrating against alcohol permits. (Local Board Hearing).</w:t>
      </w:r>
    </w:p>
    <w:p w:rsidR="00CF01B1" w:rsidRPr="00CF01B1" w:rsidRDefault="00CF01B1" w:rsidP="0055131E">
      <w:pPr>
        <w:widowControl/>
        <w:numPr>
          <w:ilvl w:val="0"/>
          <w:numId w:val="14"/>
        </w:numPr>
        <w:autoSpaceDE/>
        <w:autoSpaceDN/>
        <w:adjustRightInd/>
        <w:spacing w:after="120" w:line="23" w:lineRule="atLeast"/>
        <w:jc w:val="both"/>
        <w:rPr>
          <w:rFonts w:asciiTheme="majorHAnsi" w:hAnsiTheme="majorHAnsi"/>
        </w:rPr>
      </w:pPr>
      <w:r>
        <w:rPr>
          <w:rFonts w:asciiTheme="majorHAnsi" w:hAnsiTheme="majorHAnsi"/>
        </w:rPr>
        <w:t xml:space="preserve">Applicant has had numerous </w:t>
      </w:r>
      <w:proofErr w:type="gramStart"/>
      <w:r>
        <w:rPr>
          <w:rFonts w:asciiTheme="majorHAnsi" w:hAnsiTheme="majorHAnsi"/>
        </w:rPr>
        <w:t>customers</w:t>
      </w:r>
      <w:proofErr w:type="gramEnd"/>
      <w:r>
        <w:rPr>
          <w:rFonts w:asciiTheme="majorHAnsi" w:hAnsiTheme="majorHAnsi"/>
        </w:rPr>
        <w:t xml:space="preserve"> state they are in favor of Applicant selling beer and wine. (Local Board Hearing; Appeal Hearing).</w:t>
      </w:r>
    </w:p>
    <w:p w:rsidR="00CC58FE" w:rsidRDefault="00CC58FE" w:rsidP="0055131E">
      <w:pPr>
        <w:widowControl/>
        <w:numPr>
          <w:ilvl w:val="0"/>
          <w:numId w:val="14"/>
        </w:numPr>
        <w:autoSpaceDE/>
        <w:autoSpaceDN/>
        <w:adjustRightInd/>
        <w:spacing w:after="120" w:line="23" w:lineRule="atLeast"/>
        <w:jc w:val="both"/>
        <w:rPr>
          <w:rFonts w:asciiTheme="majorHAnsi" w:hAnsiTheme="majorHAnsi"/>
        </w:rPr>
      </w:pPr>
      <w:r>
        <w:rPr>
          <w:rFonts w:asciiTheme="majorHAnsi" w:hAnsiTheme="majorHAnsi"/>
        </w:rPr>
        <w:t>Applicant is one of the only, if not the only, gas station between Warsaw and Tippecanoe Lake and other surrounding lakes. (Appeal Hearing).</w:t>
      </w:r>
    </w:p>
    <w:p w:rsidR="00CC58FE" w:rsidRPr="006F3EF4" w:rsidRDefault="00CC58FE" w:rsidP="0055131E">
      <w:pPr>
        <w:widowControl/>
        <w:numPr>
          <w:ilvl w:val="0"/>
          <w:numId w:val="14"/>
        </w:numPr>
        <w:autoSpaceDE/>
        <w:autoSpaceDN/>
        <w:adjustRightInd/>
        <w:spacing w:after="120" w:line="23" w:lineRule="atLeast"/>
        <w:jc w:val="both"/>
        <w:rPr>
          <w:rFonts w:asciiTheme="majorHAnsi" w:hAnsiTheme="majorHAnsi"/>
        </w:rPr>
      </w:pPr>
      <w:r>
        <w:rPr>
          <w:rFonts w:asciiTheme="majorHAnsi" w:hAnsiTheme="majorHAnsi"/>
        </w:rPr>
        <w:t xml:space="preserve"> Applicant has lake traffic well in excess of Leesburg’s population. (Appeal Hearing).</w:t>
      </w:r>
    </w:p>
    <w:p w:rsidR="00CF01B1" w:rsidRPr="00CF01B1" w:rsidRDefault="00CF01B1" w:rsidP="0055131E">
      <w:pPr>
        <w:widowControl/>
        <w:numPr>
          <w:ilvl w:val="0"/>
          <w:numId w:val="14"/>
        </w:numPr>
        <w:autoSpaceDE/>
        <w:autoSpaceDN/>
        <w:adjustRightInd/>
        <w:spacing w:after="120" w:line="23" w:lineRule="atLeast"/>
        <w:jc w:val="both"/>
        <w:rPr>
          <w:rFonts w:asciiTheme="majorHAnsi" w:hAnsiTheme="majorHAnsi"/>
        </w:rPr>
      </w:pPr>
      <w:r>
        <w:rPr>
          <w:rFonts w:ascii="Cambria" w:hAnsi="Cambria"/>
        </w:rPr>
        <w:t>The Local Board stated there is a board policy against permits at gas stations.</w:t>
      </w:r>
      <w:r w:rsidRPr="00CF01B1">
        <w:rPr>
          <w:rFonts w:ascii="Cambria" w:hAnsi="Cambria"/>
        </w:rPr>
        <w:t xml:space="preserve"> </w:t>
      </w:r>
      <w:r>
        <w:rPr>
          <w:rFonts w:ascii="Cambria" w:hAnsi="Cambria"/>
        </w:rPr>
        <w:t>(Local Board Hearing).</w:t>
      </w:r>
    </w:p>
    <w:p w:rsidR="00CF01B1" w:rsidRPr="00CF01B1" w:rsidRDefault="00CF01B1" w:rsidP="0055131E">
      <w:pPr>
        <w:widowControl/>
        <w:numPr>
          <w:ilvl w:val="0"/>
          <w:numId w:val="14"/>
        </w:numPr>
        <w:autoSpaceDE/>
        <w:autoSpaceDN/>
        <w:adjustRightInd/>
        <w:spacing w:after="120" w:line="23" w:lineRule="atLeast"/>
        <w:jc w:val="both"/>
        <w:rPr>
          <w:rFonts w:asciiTheme="majorHAnsi" w:hAnsiTheme="majorHAnsi"/>
        </w:rPr>
      </w:pPr>
      <w:r>
        <w:rPr>
          <w:rFonts w:ascii="Cambria" w:hAnsi="Cambria"/>
        </w:rPr>
        <w:t>The Local Board admitted their policies had been found to be capricious in the past. (Local Board Hearing).</w:t>
      </w:r>
    </w:p>
    <w:p w:rsidR="00CC58FE" w:rsidRPr="00CC58FE" w:rsidRDefault="00A2322F" w:rsidP="0055131E">
      <w:pPr>
        <w:widowControl/>
        <w:numPr>
          <w:ilvl w:val="0"/>
          <w:numId w:val="14"/>
        </w:numPr>
        <w:autoSpaceDE/>
        <w:autoSpaceDN/>
        <w:adjustRightInd/>
        <w:spacing w:after="120" w:line="23" w:lineRule="atLeast"/>
        <w:jc w:val="both"/>
        <w:rPr>
          <w:rFonts w:asciiTheme="majorHAnsi" w:hAnsiTheme="majorHAnsi"/>
        </w:rPr>
      </w:pPr>
      <w:r>
        <w:rPr>
          <w:rFonts w:ascii="Cambria" w:hAnsi="Cambria"/>
        </w:rPr>
        <w:t>The Local Board stated that the Board’s vote may not stop you (Applicant)</w:t>
      </w:r>
      <w:r w:rsidR="006918C4">
        <w:rPr>
          <w:rFonts w:ascii="Cambria" w:hAnsi="Cambria"/>
        </w:rPr>
        <w:t>,</w:t>
      </w:r>
      <w:r>
        <w:rPr>
          <w:rFonts w:ascii="Cambria" w:hAnsi="Cambria"/>
        </w:rPr>
        <w:t xml:space="preserve"> but it might delay you. (Local Board Hearing).</w:t>
      </w:r>
      <w:r w:rsidR="00CC58FE" w:rsidRPr="00CC58FE">
        <w:rPr>
          <w:rFonts w:ascii="Cambria" w:hAnsi="Cambria"/>
        </w:rPr>
        <w:t xml:space="preserve"> </w:t>
      </w:r>
    </w:p>
    <w:p w:rsidR="00A2322F" w:rsidRPr="00CF01B1" w:rsidRDefault="00CC58FE" w:rsidP="0055131E">
      <w:pPr>
        <w:widowControl/>
        <w:numPr>
          <w:ilvl w:val="0"/>
          <w:numId w:val="14"/>
        </w:numPr>
        <w:autoSpaceDE/>
        <w:autoSpaceDN/>
        <w:adjustRightInd/>
        <w:spacing w:after="120" w:line="23" w:lineRule="atLeast"/>
        <w:jc w:val="both"/>
        <w:rPr>
          <w:rFonts w:asciiTheme="majorHAnsi" w:hAnsiTheme="majorHAnsi"/>
        </w:rPr>
      </w:pPr>
      <w:r>
        <w:rPr>
          <w:rFonts w:ascii="Cambria" w:hAnsi="Cambria"/>
        </w:rPr>
        <w:t xml:space="preserve">The Local Board did not elicit any testimony, from Local Board members or remonstrators, that Applicant is unfit to hold the permit or that there was any defect in Applicant’s </w:t>
      </w:r>
      <w:proofErr w:type="gramStart"/>
      <w:r>
        <w:rPr>
          <w:rFonts w:ascii="Cambria" w:hAnsi="Cambria"/>
        </w:rPr>
        <w:t>permit</w:t>
      </w:r>
      <w:proofErr w:type="gramEnd"/>
      <w:r>
        <w:rPr>
          <w:rFonts w:ascii="Cambria" w:hAnsi="Cambria"/>
        </w:rPr>
        <w:t>. (Local Board Hearing).</w:t>
      </w:r>
    </w:p>
    <w:p w:rsidR="00D80A8B" w:rsidRPr="006918C4" w:rsidRDefault="00D80A8B" w:rsidP="006918C4">
      <w:pPr>
        <w:widowControl/>
        <w:numPr>
          <w:ilvl w:val="0"/>
          <w:numId w:val="14"/>
        </w:numPr>
        <w:autoSpaceDE/>
        <w:autoSpaceDN/>
        <w:adjustRightInd/>
        <w:spacing w:after="120" w:line="23" w:lineRule="atLeast"/>
        <w:jc w:val="both"/>
        <w:rPr>
          <w:rFonts w:asciiTheme="majorHAnsi" w:hAnsiTheme="majorHAnsi"/>
          <w:b/>
          <w:u w:val="single"/>
        </w:rPr>
      </w:pPr>
      <w:r w:rsidRPr="006F3EF4">
        <w:rPr>
          <w:rFonts w:asciiTheme="majorHAnsi" w:hAnsiTheme="majorHAnsi"/>
        </w:rPr>
        <w:t>Any Finding of Fact may be considered a Conclusion of Law, if the context so warrants.</w:t>
      </w:r>
    </w:p>
    <w:p w:rsidR="00D80A8B" w:rsidRPr="006F3EF4" w:rsidRDefault="00D80A8B" w:rsidP="00D80A8B">
      <w:pPr>
        <w:rPr>
          <w:rFonts w:asciiTheme="majorHAnsi" w:hAnsiTheme="majorHAnsi"/>
          <w:b/>
          <w:u w:val="single"/>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Conclusions of Law</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ATC has jurisdiction over this matter pursuant to Ind. Code 7.1-1-2-2; Ind. Code 7.1-2-3-9.</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permit application was properly submitted pursuant to Ind. Code 7.1-3-1-4.</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ATC is commissioned to act upon proper application. Id.</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 xml:space="preserve">The Hearing judge conducted a </w:t>
      </w:r>
      <w:r w:rsidRPr="00662946">
        <w:rPr>
          <w:rFonts w:ascii="Cambria" w:hAnsi="Cambria"/>
          <w:i/>
        </w:rPr>
        <w:t>de novo</w:t>
      </w:r>
      <w:r w:rsidRPr="00662946">
        <w:rPr>
          <w:rFonts w:ascii="Cambria" w:hAnsi="Cambria"/>
        </w:rPr>
        <w:t xml:space="preserve"> review of the appeal on behalf of the ATC, including a public hearing. 905 IAC 1-36-7(a); </w:t>
      </w:r>
      <w:smartTag w:uri="urn:schemas-microsoft-com:office:smarttags" w:element="State">
        <w:smartTag w:uri="urn:schemas-microsoft-com:office:smarttags" w:element="place">
          <w:r w:rsidRPr="00662946">
            <w:rPr>
              <w:rFonts w:ascii="Cambria" w:hAnsi="Cambria"/>
            </w:rPr>
            <w:t>Ind.</w:t>
          </w:r>
        </w:smartTag>
      </w:smartTag>
      <w:r w:rsidRPr="00662946">
        <w:rPr>
          <w:rFonts w:ascii="Cambria" w:hAnsi="Cambria"/>
        </w:rPr>
        <w:t xml:space="preserve"> Code 7.1-3-19-11.5</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Hearing Judge may consider as evidence all documents, codes and standards that have been adopted by an agency of this state. 905 IAC 1-36-8(e)</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Hearing Judge may consider as evidence all documents in the ATC file, including the transcript of proceedings and exhibits before the Local Board. 905 IAC 1-36-7(a)</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 xml:space="preserve">Evidence at the hearing was received in accordance with the Indiana Administrative Code and the Commission’s rules. The findings here are based exclusively upon substantial and reliable evidence in the record of proceedings and on matters officially noted in the proceedings. 905 IAC 1-37-11(e); </w:t>
      </w:r>
      <w:smartTag w:uri="urn:schemas-microsoft-com:office:smarttags" w:element="State">
        <w:smartTag w:uri="urn:schemas-microsoft-com:office:smarttags" w:element="place">
          <w:r w:rsidRPr="00662946">
            <w:rPr>
              <w:rFonts w:ascii="Cambria" w:hAnsi="Cambria"/>
            </w:rPr>
            <w:t>Ind.</w:t>
          </w:r>
        </w:smartTag>
      </w:smartTag>
      <w:r w:rsidRPr="00662946">
        <w:rPr>
          <w:rFonts w:ascii="Cambria" w:hAnsi="Cambria"/>
        </w:rPr>
        <w:t xml:space="preserve"> Code 4-21.5-3-27(d)</w:t>
      </w:r>
    </w:p>
    <w:p w:rsidR="00062200"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sidRPr="00662946">
        <w:rPr>
          <w:rFonts w:ascii="Cambria" w:hAnsi="Cambria"/>
        </w:rPr>
        <w:t xml:space="preserve">The Commission has discretion to grant or refuse a Permit application.   Ind. Code §§ 7.1-3-19-1, </w:t>
      </w:r>
      <w:r w:rsidRPr="00662946">
        <w:rPr>
          <w:rFonts w:ascii="Cambria" w:hAnsi="Cambria"/>
          <w:i/>
        </w:rPr>
        <w:t>et seq</w:t>
      </w:r>
      <w:r w:rsidRPr="00662946">
        <w:rPr>
          <w:rFonts w:ascii="Cambria" w:hAnsi="Cambria"/>
        </w:rPr>
        <w:t>.</w:t>
      </w:r>
    </w:p>
    <w:p w:rsidR="00062200"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Pr>
          <w:rFonts w:ascii="Cambria" w:hAnsi="Cambria"/>
        </w:rPr>
        <w:t>The Commission shall consider the acts of the applicant, or its employees or agents, in determining the moral character and repute of the Applicant.  905 IAC 1-27-1.</w:t>
      </w:r>
    </w:p>
    <w:p w:rsidR="00062200" w:rsidRPr="00662946"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Pr>
          <w:rFonts w:ascii="Cambria" w:hAnsi="Cambria"/>
        </w:rPr>
        <w:t>The Commission may infer the esteem with which the Applicant is held by the community from police reports, evidence submitted at Commission proceedings, and information contained in public records.  Id.</w:t>
      </w:r>
    </w:p>
    <w:p w:rsidR="00062200" w:rsidRPr="00F91906"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sidRPr="00662946">
        <w:rPr>
          <w:rFonts w:ascii="Cambria" w:hAnsi="Cambria"/>
          <w:szCs w:val="20"/>
        </w:rPr>
        <w:t xml:space="preserve">The Commission is required to follow the recommendation of the Local Board when the Local Board votes to deny an application by a majority vote, </w:t>
      </w:r>
      <w:r w:rsidRPr="00662946">
        <w:rPr>
          <w:rFonts w:ascii="Cambria" w:hAnsi="Cambria"/>
          <w:iCs/>
        </w:rPr>
        <w:t xml:space="preserve">unless the recommendation is arbitrary, capricious, contrary to a constitutional right, outside statutory jurisdiction, without observance of required procedures, or unsupported by substantial evidence.  Ind. Code § 7.1-3-19-11.    </w:t>
      </w:r>
    </w:p>
    <w:p w:rsidR="00062200" w:rsidRPr="00662946"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sidRPr="00662946">
        <w:rPr>
          <w:rFonts w:ascii="Cambria" w:hAnsi="Cambria"/>
        </w:rPr>
        <w:t xml:space="preserve">The Applicant contends the Local Board’s decision to </w:t>
      </w:r>
      <w:r w:rsidR="00795E93" w:rsidRPr="00662946">
        <w:rPr>
          <w:rFonts w:ascii="Cambria" w:hAnsi="Cambria"/>
        </w:rPr>
        <w:t xml:space="preserve">not </w:t>
      </w:r>
      <w:r w:rsidR="00795E93">
        <w:rPr>
          <w:rFonts w:ascii="Cambria" w:hAnsi="Cambria"/>
        </w:rPr>
        <w:t>issue</w:t>
      </w:r>
      <w:r>
        <w:rPr>
          <w:rFonts w:ascii="Cambria" w:hAnsi="Cambria"/>
        </w:rPr>
        <w:t xml:space="preserve"> the Permit was arbitrary and capricious, and </w:t>
      </w:r>
      <w:r w:rsidRPr="00662946">
        <w:rPr>
          <w:rFonts w:ascii="Cambria" w:hAnsi="Cambria"/>
        </w:rPr>
        <w:t xml:space="preserve">unsupported by substantial evidence. </w:t>
      </w:r>
    </w:p>
    <w:p w:rsidR="00062200" w:rsidRPr="00662946"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sidRPr="00662946">
        <w:rPr>
          <w:rFonts w:ascii="Cambria" w:hAnsi="Cambria"/>
          <w:szCs w:val="20"/>
        </w:rPr>
        <w:t>An administrative agency action</w:t>
      </w:r>
      <w:r w:rsidRPr="00662946">
        <w:rPr>
          <w:rFonts w:ascii="Cambria" w:hAnsi="Cambria"/>
        </w:rPr>
        <w:t xml:space="preserve"> is arbitrary and capricious “where there is no reasonable basis for the action." </w:t>
      </w:r>
      <w:smartTag w:uri="urn:schemas-microsoft-com:office:smarttags" w:element="State">
        <w:r w:rsidRPr="00662946">
          <w:rPr>
            <w:rFonts w:ascii="Cambria" w:hAnsi="Cambria"/>
            <w:i/>
            <w:iCs/>
          </w:rPr>
          <w:t>Ind.</w:t>
        </w:r>
      </w:smartTag>
      <w:r w:rsidRPr="00662946">
        <w:rPr>
          <w:rFonts w:ascii="Cambria" w:hAnsi="Cambria"/>
          <w:i/>
          <w:iCs/>
        </w:rPr>
        <w:t xml:space="preserve"> Civil Rights </w:t>
      </w:r>
      <w:proofErr w:type="spellStart"/>
      <w:r w:rsidRPr="00662946">
        <w:rPr>
          <w:rFonts w:ascii="Cambria" w:hAnsi="Cambria"/>
          <w:i/>
          <w:iCs/>
        </w:rPr>
        <w:t>Comm'n</w:t>
      </w:r>
      <w:proofErr w:type="spellEnd"/>
      <w:r w:rsidRPr="00662946">
        <w:rPr>
          <w:rFonts w:ascii="Cambria" w:hAnsi="Cambria"/>
          <w:i/>
          <w:iCs/>
        </w:rPr>
        <w:t xml:space="preserve"> v. </w:t>
      </w:r>
      <w:smartTag w:uri="urn:schemas-microsoft-com:office:smarttags" w:element="Street">
        <w:smartTag w:uri="urn:schemas-microsoft-com:office:smarttags" w:element="address">
          <w:r w:rsidRPr="00662946">
            <w:rPr>
              <w:rFonts w:ascii="Cambria" w:hAnsi="Cambria"/>
              <w:i/>
              <w:iCs/>
            </w:rPr>
            <w:t>Delaware County Cir. Ct</w:t>
          </w:r>
          <w:r w:rsidRPr="00662946">
            <w:rPr>
              <w:rFonts w:ascii="Cambria" w:hAnsi="Cambria"/>
            </w:rPr>
            <w:t>.</w:t>
          </w:r>
        </w:smartTag>
      </w:smartTag>
      <w:r w:rsidRPr="00662946">
        <w:rPr>
          <w:rFonts w:ascii="Cambria" w:hAnsi="Cambria"/>
        </w:rPr>
        <w:t>, 668 N.E.2d 1219, 1221 (</w:t>
      </w:r>
      <w:smartTag w:uri="urn:schemas-microsoft-com:office:smarttags" w:element="place">
        <w:smartTag w:uri="urn:schemas-microsoft-com:office:smarttags" w:element="State">
          <w:r w:rsidRPr="00662946">
            <w:rPr>
              <w:rFonts w:ascii="Cambria" w:hAnsi="Cambria"/>
            </w:rPr>
            <w:t>Ind.</w:t>
          </w:r>
        </w:smartTag>
      </w:smartTag>
      <w:r w:rsidRPr="00662946">
        <w:rPr>
          <w:rFonts w:ascii="Cambria" w:hAnsi="Cambria"/>
        </w:rPr>
        <w:t xml:space="preserve"> 1996).  </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 xml:space="preserve">Substantial evidence is the standard to be applied by the Commission in review of the record of proceedings.  Substantial evidence requires something more than a scintilla, and less than a preponderance of evidence; it is such relevant evidence as a reasonable mind might accept as adequate to support a conclusion.  </w:t>
      </w:r>
      <w:r w:rsidRPr="00662946">
        <w:rPr>
          <w:rFonts w:ascii="Cambria" w:hAnsi="Cambria"/>
          <w:i/>
          <w:iCs/>
        </w:rPr>
        <w:t>Indiana Alcoholic Beverage Comm. v. River Road Lounge</w:t>
      </w:r>
      <w:r w:rsidRPr="00662946">
        <w:rPr>
          <w:rFonts w:ascii="Cambria" w:hAnsi="Cambria"/>
        </w:rPr>
        <w:t xml:space="preserve">, 590 N.E. 2d 656, 659 (Ind. App. 1992); see also </w:t>
      </w:r>
      <w:r w:rsidRPr="00662946">
        <w:rPr>
          <w:rFonts w:ascii="Cambria" w:hAnsi="Cambria"/>
          <w:i/>
        </w:rPr>
        <w:t>Roberts v. County of Allen</w:t>
      </w:r>
      <w:r w:rsidRPr="00662946">
        <w:rPr>
          <w:rFonts w:ascii="Cambria" w:hAnsi="Cambria"/>
        </w:rPr>
        <w:t xml:space="preserve">, 773 N.E.2d 850, 853 (Ind. App. 2002).  Substantial evidence is more than speculation or conjecture.  </w:t>
      </w:r>
      <w:smartTag w:uri="urn:schemas-microsoft-com:office:smarttags" w:element="State">
        <w:smartTag w:uri="urn:schemas-microsoft-com:office:smarttags" w:element="place">
          <w:r w:rsidRPr="00662946">
            <w:rPr>
              <w:rFonts w:ascii="Cambria" w:hAnsi="Cambria"/>
              <w:i/>
            </w:rPr>
            <w:t>Id.</w:t>
          </w:r>
        </w:smartTag>
      </w:smartTag>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Applicant is a fit and proper applicant, has maintained a reputation for decency and law obedience, and is well qualified to hold an alcoholic beverage permit under Indiana Law. 905 IAC 1-27-1; Ind. Code 7.1-3-19-10</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initial findings of the Local Board were</w:t>
      </w:r>
      <w:r>
        <w:rPr>
          <w:rFonts w:ascii="Cambria" w:hAnsi="Cambria"/>
        </w:rPr>
        <w:t xml:space="preserve"> arbitrary</w:t>
      </w:r>
      <w:r w:rsidR="006918C4">
        <w:rPr>
          <w:rFonts w:ascii="Cambria" w:hAnsi="Cambria"/>
        </w:rPr>
        <w:t>,</w:t>
      </w:r>
      <w:r>
        <w:rPr>
          <w:rFonts w:ascii="Cambria" w:hAnsi="Cambria"/>
        </w:rPr>
        <w:t xml:space="preserve"> </w:t>
      </w:r>
      <w:r w:rsidRPr="00662946">
        <w:rPr>
          <w:rFonts w:ascii="Cambria" w:hAnsi="Cambria"/>
        </w:rPr>
        <w:t>capricious</w:t>
      </w:r>
      <w:r>
        <w:rPr>
          <w:rFonts w:ascii="Cambria" w:hAnsi="Cambria"/>
        </w:rPr>
        <w:t xml:space="preserve"> and</w:t>
      </w:r>
      <w:r w:rsidRPr="00662946">
        <w:rPr>
          <w:rFonts w:ascii="Cambria" w:hAnsi="Cambria"/>
        </w:rPr>
        <w:t xml:space="preserve"> unsupported by substantial evidence. </w:t>
      </w:r>
    </w:p>
    <w:p w:rsidR="00062200" w:rsidRPr="00662946" w:rsidRDefault="00062200" w:rsidP="00062200">
      <w:pPr>
        <w:spacing w:after="120" w:line="23" w:lineRule="atLeast"/>
        <w:rPr>
          <w:rFonts w:ascii="Cambria" w:hAnsi="Cambria"/>
        </w:rPr>
      </w:pPr>
    </w:p>
    <w:p w:rsidR="00062200" w:rsidRPr="00662946" w:rsidRDefault="006918C4" w:rsidP="00062200">
      <w:pPr>
        <w:spacing w:after="120" w:line="23" w:lineRule="atLeast"/>
        <w:rPr>
          <w:rFonts w:ascii="Cambria" w:hAnsi="Cambria"/>
        </w:rPr>
      </w:pPr>
      <w:r>
        <w:rPr>
          <w:rFonts w:ascii="Cambria" w:hAnsi="Cambria"/>
        </w:rPr>
        <w:tab/>
      </w:r>
      <w:r w:rsidR="00062200" w:rsidRPr="00662946">
        <w:rPr>
          <w:rFonts w:ascii="Cambria" w:hAnsi="Cambria"/>
        </w:rPr>
        <w:t>Therefore, it is ORDERED, ADJUDGED AND DECREED that the findings of the Local Board to deny this application were</w:t>
      </w:r>
      <w:r w:rsidR="00062200">
        <w:rPr>
          <w:rFonts w:ascii="Cambria" w:hAnsi="Cambria"/>
        </w:rPr>
        <w:t xml:space="preserve"> not</w:t>
      </w:r>
      <w:r w:rsidR="00062200" w:rsidRPr="00662946">
        <w:rPr>
          <w:rFonts w:ascii="Cambria" w:hAnsi="Cambria"/>
        </w:rPr>
        <w:t xml:space="preserve"> based on substantial evidence and must be </w:t>
      </w:r>
      <w:r w:rsidR="00062200">
        <w:rPr>
          <w:rFonts w:ascii="Cambria" w:hAnsi="Cambria"/>
        </w:rPr>
        <w:t>REVERSED</w:t>
      </w:r>
      <w:r w:rsidR="00062200" w:rsidRPr="00662946">
        <w:rPr>
          <w:rFonts w:ascii="Cambria" w:hAnsi="Cambria"/>
        </w:rPr>
        <w:t>.</w:t>
      </w:r>
    </w:p>
    <w:p w:rsidR="00062200" w:rsidRPr="00662946" w:rsidRDefault="006918C4" w:rsidP="00062200">
      <w:pPr>
        <w:spacing w:after="120" w:line="23" w:lineRule="atLeast"/>
        <w:rPr>
          <w:rFonts w:ascii="Cambria" w:hAnsi="Cambria"/>
        </w:rPr>
      </w:pPr>
      <w:r>
        <w:rPr>
          <w:rFonts w:ascii="Cambria" w:hAnsi="Cambria"/>
        </w:rPr>
        <w:tab/>
      </w:r>
      <w:r w:rsidR="00062200" w:rsidRPr="00662946">
        <w:rPr>
          <w:rFonts w:ascii="Cambria" w:hAnsi="Cambria"/>
        </w:rPr>
        <w:t>It is further ORDERED, ADJUDGED AND DECREED that the evidence adduced</w:t>
      </w:r>
      <w:r w:rsidR="00062200">
        <w:rPr>
          <w:rFonts w:ascii="Cambria" w:hAnsi="Cambria"/>
        </w:rPr>
        <w:t xml:space="preserve"> </w:t>
      </w:r>
      <w:r w:rsidR="00062200" w:rsidRPr="00662946">
        <w:rPr>
          <w:rFonts w:ascii="Cambria" w:hAnsi="Cambria"/>
        </w:rPr>
        <w:t>at the Appeal Hearing was</w:t>
      </w:r>
      <w:r w:rsidR="00062200">
        <w:rPr>
          <w:rFonts w:ascii="Cambria" w:hAnsi="Cambria"/>
        </w:rPr>
        <w:t xml:space="preserve"> </w:t>
      </w:r>
      <w:r w:rsidR="00062200" w:rsidRPr="00662946">
        <w:rPr>
          <w:rFonts w:ascii="Cambria" w:hAnsi="Cambria"/>
        </w:rPr>
        <w:t xml:space="preserve">in favor of the Applicant, and the </w:t>
      </w:r>
      <w:r w:rsidR="00062200">
        <w:rPr>
          <w:rFonts w:ascii="Cambria" w:hAnsi="Cambria"/>
        </w:rPr>
        <w:t>application</w:t>
      </w:r>
      <w:r w:rsidR="00062200" w:rsidRPr="00662946">
        <w:rPr>
          <w:rFonts w:ascii="Cambria" w:hAnsi="Cambria"/>
        </w:rPr>
        <w:t xml:space="preserve"> of </w:t>
      </w:r>
      <w:r w:rsidR="00062200">
        <w:rPr>
          <w:rFonts w:ascii="Cambria" w:hAnsi="Cambria"/>
        </w:rPr>
        <w:t xml:space="preserve">Good Oil Co., Inc. </w:t>
      </w:r>
      <w:r w:rsidR="00062200" w:rsidRPr="00662946">
        <w:rPr>
          <w:rFonts w:ascii="Cambria" w:hAnsi="Cambria"/>
        </w:rPr>
        <w:t xml:space="preserve">for the </w:t>
      </w:r>
      <w:r w:rsidR="00062200">
        <w:rPr>
          <w:rFonts w:ascii="Cambria" w:hAnsi="Cambria"/>
        </w:rPr>
        <w:t>issuance</w:t>
      </w:r>
      <w:r w:rsidR="00062200" w:rsidRPr="00662946">
        <w:rPr>
          <w:rFonts w:ascii="Cambria" w:hAnsi="Cambria"/>
        </w:rPr>
        <w:t xml:space="preserve"> of permit #</w:t>
      </w:r>
      <w:r w:rsidR="00795E93">
        <w:rPr>
          <w:rFonts w:ascii="Cambria" w:hAnsi="Cambria"/>
        </w:rPr>
        <w:t>RR43-29022</w:t>
      </w:r>
      <w:r w:rsidR="00062200" w:rsidRPr="00662946">
        <w:rPr>
          <w:rFonts w:ascii="Cambria" w:hAnsi="Cambria"/>
        </w:rPr>
        <w:t xml:space="preserve">, is </w:t>
      </w:r>
      <w:r w:rsidR="00062200">
        <w:rPr>
          <w:rFonts w:ascii="Cambria" w:hAnsi="Cambria"/>
        </w:rPr>
        <w:t>APPROVED</w:t>
      </w:r>
      <w:r w:rsidR="00062200" w:rsidRPr="00662946">
        <w:rPr>
          <w:rFonts w:ascii="Cambria" w:hAnsi="Cambria"/>
        </w:rPr>
        <w:t>.</w:t>
      </w:r>
    </w:p>
    <w:p w:rsidR="002F4AB5" w:rsidRDefault="002F4AB5" w:rsidP="00711D4F">
      <w:pPr>
        <w:spacing w:after="120" w:line="23" w:lineRule="atLeast"/>
        <w:rPr>
          <w:rFonts w:asciiTheme="majorHAnsi" w:hAnsiTheme="majorHAnsi"/>
        </w:rPr>
      </w:pPr>
    </w:p>
    <w:p w:rsidR="002F4AB5" w:rsidRDefault="00424C94" w:rsidP="00711D4F">
      <w:pPr>
        <w:spacing w:after="120" w:line="23" w:lineRule="atLeast"/>
        <w:rPr>
          <w:rFonts w:asciiTheme="majorHAnsi" w:hAnsiTheme="majorHAnsi"/>
        </w:rPr>
      </w:pPr>
      <w:r w:rsidRPr="006F3EF4">
        <w:rPr>
          <w:rFonts w:asciiTheme="majorHAnsi" w:hAnsiTheme="majorHAnsi"/>
        </w:rPr>
        <w:t>Dated:</w:t>
      </w:r>
      <w:r w:rsidR="007743D5" w:rsidRPr="006F3EF4">
        <w:rPr>
          <w:rFonts w:asciiTheme="majorHAnsi" w:hAnsiTheme="majorHAnsi"/>
        </w:rPr>
        <w:t xml:space="preserve"> </w:t>
      </w:r>
      <w:r w:rsidR="00795E93">
        <w:rPr>
          <w:rFonts w:asciiTheme="majorHAnsi" w:hAnsiTheme="majorHAnsi"/>
        </w:rPr>
        <w:t>December 27, 2012</w:t>
      </w:r>
    </w:p>
    <w:p w:rsidR="00841DAF" w:rsidRPr="006F3EF4" w:rsidRDefault="002F4AB5" w:rsidP="00711D4F">
      <w:pPr>
        <w:spacing w:after="120" w:line="23" w:lineRule="atLeas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841DAF" w:rsidRPr="006F3EF4">
        <w:rPr>
          <w:rFonts w:asciiTheme="majorHAnsi" w:hAnsiTheme="majorHAnsi"/>
        </w:rPr>
        <w:t>___________________________</w:t>
      </w:r>
    </w:p>
    <w:p w:rsidR="00841DAF" w:rsidRPr="006F3EF4" w:rsidRDefault="00320AA6" w:rsidP="00711D4F">
      <w:pPr>
        <w:spacing w:line="20" w:lineRule="atLeast"/>
        <w:ind w:left="720" w:firstLine="3600"/>
        <w:rPr>
          <w:rFonts w:asciiTheme="majorHAnsi" w:hAnsiTheme="majorHAnsi"/>
        </w:rPr>
      </w:pPr>
      <w:r>
        <w:rPr>
          <w:rFonts w:asciiTheme="majorHAnsi" w:hAnsiTheme="majorHAnsi"/>
        </w:rPr>
        <w:t>Doug Kowalski</w:t>
      </w:r>
    </w:p>
    <w:p w:rsidR="00841DAF" w:rsidRPr="006F3EF4" w:rsidRDefault="00424C94" w:rsidP="00711D4F">
      <w:pPr>
        <w:spacing w:line="20" w:lineRule="atLeast"/>
        <w:ind w:firstLine="4320"/>
        <w:rPr>
          <w:rFonts w:asciiTheme="majorHAnsi" w:hAnsiTheme="majorHAnsi"/>
        </w:rPr>
      </w:pPr>
      <w:r w:rsidRPr="006F3EF4">
        <w:rPr>
          <w:rFonts w:asciiTheme="majorHAnsi" w:hAnsiTheme="majorHAnsi"/>
        </w:rPr>
        <w:t>Hearing Judge</w:t>
      </w:r>
    </w:p>
    <w:sectPr w:rsidR="00841DAF" w:rsidRPr="006F3EF4" w:rsidSect="00D80A8B">
      <w:headerReference w:type="default" r:id="rId7"/>
      <w:footerReference w:type="default" r:id="rId8"/>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72B" w:rsidRDefault="00C2772B" w:rsidP="00674248">
      <w:r>
        <w:separator/>
      </w:r>
    </w:p>
  </w:endnote>
  <w:endnote w:type="continuationSeparator" w:id="0">
    <w:p w:rsidR="00C2772B" w:rsidRDefault="00C2772B" w:rsidP="00674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2B" w:rsidRDefault="00C2772B">
    <w:pPr>
      <w:pStyle w:val="Footer"/>
      <w:jc w:val="right"/>
    </w:pPr>
    <w:r>
      <w:t xml:space="preserve">Page </w:t>
    </w:r>
    <w:r w:rsidR="0090516D">
      <w:rPr>
        <w:b/>
      </w:rPr>
      <w:fldChar w:fldCharType="begin"/>
    </w:r>
    <w:r>
      <w:rPr>
        <w:b/>
      </w:rPr>
      <w:instrText xml:space="preserve"> PAGE </w:instrText>
    </w:r>
    <w:r w:rsidR="0090516D">
      <w:rPr>
        <w:b/>
      </w:rPr>
      <w:fldChar w:fldCharType="separate"/>
    </w:r>
    <w:r w:rsidR="006C2061">
      <w:rPr>
        <w:b/>
        <w:noProof/>
      </w:rPr>
      <w:t>1</w:t>
    </w:r>
    <w:r w:rsidR="0090516D">
      <w:rPr>
        <w:b/>
      </w:rPr>
      <w:fldChar w:fldCharType="end"/>
    </w:r>
    <w:r>
      <w:t xml:space="preserve"> of </w:t>
    </w:r>
    <w:r w:rsidR="0090516D">
      <w:rPr>
        <w:b/>
      </w:rPr>
      <w:fldChar w:fldCharType="begin"/>
    </w:r>
    <w:r>
      <w:rPr>
        <w:b/>
      </w:rPr>
      <w:instrText xml:space="preserve"> NUMPAGES  </w:instrText>
    </w:r>
    <w:r w:rsidR="0090516D">
      <w:rPr>
        <w:b/>
      </w:rPr>
      <w:fldChar w:fldCharType="separate"/>
    </w:r>
    <w:r w:rsidR="006C2061">
      <w:rPr>
        <w:b/>
        <w:noProof/>
      </w:rPr>
      <w:t>5</w:t>
    </w:r>
    <w:r w:rsidR="0090516D">
      <w:rPr>
        <w:b/>
      </w:rPr>
      <w:fldChar w:fldCharType="end"/>
    </w:r>
  </w:p>
  <w:p w:rsidR="00C2772B" w:rsidRDefault="00C27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72B" w:rsidRDefault="00C2772B" w:rsidP="00674248">
      <w:r>
        <w:separator/>
      </w:r>
    </w:p>
  </w:footnote>
  <w:footnote w:type="continuationSeparator" w:id="0">
    <w:p w:rsidR="00C2772B" w:rsidRDefault="00C2772B" w:rsidP="00674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Look w:val="01E0"/>
    </w:tblPr>
    <w:tblGrid>
      <w:gridCol w:w="8424"/>
      <w:gridCol w:w="1152"/>
    </w:tblGrid>
    <w:tr w:rsidR="00C2772B" w:rsidTr="00674248">
      <w:tc>
        <w:tcPr>
          <w:tcW w:w="0" w:type="auto"/>
          <w:tcBorders>
            <w:right w:val="single" w:sz="6" w:space="0" w:color="000000"/>
          </w:tcBorders>
        </w:tcPr>
        <w:p w:rsidR="00C2772B" w:rsidRPr="00674248" w:rsidRDefault="00C2772B" w:rsidP="00674248">
          <w:pPr>
            <w:pStyle w:val="Header"/>
            <w:jc w:val="right"/>
            <w:rPr>
              <w:rFonts w:ascii="Calibri" w:hAnsi="Calibri"/>
              <w:sz w:val="22"/>
              <w:szCs w:val="22"/>
            </w:rPr>
          </w:pPr>
          <w:r w:rsidRPr="00674248">
            <w:rPr>
              <w:rFonts w:ascii="Calibri" w:hAnsi="Calibri"/>
              <w:sz w:val="22"/>
              <w:szCs w:val="22"/>
            </w:rPr>
            <w:t>Indiana Alcohol and Tobacco Commission</w:t>
          </w:r>
        </w:p>
        <w:p w:rsidR="00C2772B" w:rsidRPr="00674248" w:rsidRDefault="00C2772B" w:rsidP="00C04278">
          <w:pPr>
            <w:pStyle w:val="Header"/>
            <w:jc w:val="right"/>
            <w:rPr>
              <w:rFonts w:ascii="Calibri" w:hAnsi="Calibri"/>
              <w:b/>
              <w:bCs/>
              <w:sz w:val="22"/>
              <w:szCs w:val="22"/>
            </w:rPr>
          </w:pPr>
          <w:r>
            <w:rPr>
              <w:rFonts w:ascii="Calibri" w:hAnsi="Calibri"/>
              <w:b/>
              <w:bCs/>
              <w:sz w:val="22"/>
              <w:szCs w:val="22"/>
            </w:rPr>
            <w:t>DL43-29022</w:t>
          </w:r>
        </w:p>
      </w:tc>
      <w:tc>
        <w:tcPr>
          <w:tcW w:w="1152" w:type="dxa"/>
          <w:tcBorders>
            <w:left w:val="single" w:sz="6" w:space="0" w:color="000000"/>
          </w:tcBorders>
        </w:tcPr>
        <w:p w:rsidR="00C2772B" w:rsidRPr="00674248" w:rsidRDefault="00C2772B">
          <w:pPr>
            <w:pStyle w:val="Header"/>
            <w:rPr>
              <w:rFonts w:ascii="Calibri" w:hAnsi="Calibri"/>
              <w:b/>
              <w:sz w:val="22"/>
              <w:szCs w:val="22"/>
            </w:rPr>
          </w:pPr>
        </w:p>
      </w:tc>
    </w:tr>
  </w:tbl>
  <w:p w:rsidR="00C2772B" w:rsidRDefault="00C277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6D"/>
    <w:multiLevelType w:val="hybridMultilevel"/>
    <w:tmpl w:val="5D40BA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4070B"/>
    <w:multiLevelType w:val="multilevel"/>
    <w:tmpl w:val="7A90585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1B3DA3"/>
    <w:multiLevelType w:val="hybridMultilevel"/>
    <w:tmpl w:val="A3AC81DE"/>
    <w:lvl w:ilvl="0" w:tplc="83DE3EAC">
      <w:start w:val="1"/>
      <w:numFmt w:val="upp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F013B5"/>
    <w:multiLevelType w:val="hybridMultilevel"/>
    <w:tmpl w:val="3662B788"/>
    <w:lvl w:ilvl="0" w:tplc="12E6723C">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F6943EE"/>
    <w:multiLevelType w:val="hybridMultilevel"/>
    <w:tmpl w:val="F034C4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EA28CD"/>
    <w:multiLevelType w:val="hybridMultilevel"/>
    <w:tmpl w:val="1946D94E"/>
    <w:lvl w:ilvl="0" w:tplc="038C86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5943AB"/>
    <w:multiLevelType w:val="hybridMultilevel"/>
    <w:tmpl w:val="8BE66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67743"/>
    <w:multiLevelType w:val="hybridMultilevel"/>
    <w:tmpl w:val="549A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54973"/>
    <w:multiLevelType w:val="hybridMultilevel"/>
    <w:tmpl w:val="91D6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230181"/>
    <w:multiLevelType w:val="hybridMultilevel"/>
    <w:tmpl w:val="F6C22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0C602A"/>
    <w:multiLevelType w:val="hybridMultilevel"/>
    <w:tmpl w:val="9DD685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3956A9"/>
    <w:multiLevelType w:val="multilevel"/>
    <w:tmpl w:val="D24E7544"/>
    <w:name w:val="*Firm Litigation Brief"/>
    <w:lvl w:ilvl="0">
      <w:start w:val="1"/>
      <w:numFmt w:val="upperRoman"/>
      <w:pStyle w:val="Heading1"/>
      <w:lvlText w:val="%1."/>
      <w:lvlJc w:val="left"/>
      <w:pPr>
        <w:tabs>
          <w:tab w:val="num" w:pos="720"/>
        </w:tabs>
        <w:ind w:left="720" w:hanging="720"/>
      </w:pPr>
      <w:rPr>
        <w:rFonts w:ascii="Times New Roman" w:hAnsi="Times New Roman" w:cs="Times New Roman" w:hint="default"/>
        <w:b/>
        <w:i w:val="0"/>
        <w:caps/>
        <w:small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hint="default"/>
        <w:b w:val="0"/>
        <w:i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hint="default"/>
        <w:b w:val="0"/>
        <w:i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hint="default"/>
        <w:b w:val="0"/>
        <w:i w:val="0"/>
        <w:color w:val="010000"/>
        <w:sz w:val="24"/>
        <w:u w:val="none"/>
      </w:rPr>
    </w:lvl>
    <w:lvl w:ilvl="4">
      <w:start w:val="1"/>
      <w:numFmt w:val="decimal"/>
      <w:pStyle w:val="Heading5"/>
      <w:lvlText w:val="(%5)"/>
      <w:lvlJc w:val="left"/>
      <w:pPr>
        <w:tabs>
          <w:tab w:val="num" w:pos="3600"/>
        </w:tabs>
        <w:ind w:left="3600" w:hanging="720"/>
      </w:pPr>
      <w:rPr>
        <w:rFonts w:ascii="Times New Roman" w:hAnsi="Times New Roman" w:cs="Times New Roman" w:hint="default"/>
        <w:b w:val="0"/>
        <w:i w:val="0"/>
        <w:color w:val="01000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hint="default"/>
        <w:b w:val="0"/>
        <w:i w:val="0"/>
        <w:color w:val="01000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hint="default"/>
        <w:b w:val="0"/>
        <w:i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hint="default"/>
        <w:b w:val="0"/>
        <w:i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hint="default"/>
        <w:b w:val="0"/>
        <w:i w:val="0"/>
        <w:color w:val="010000"/>
        <w:sz w:val="24"/>
        <w:u w:val="none"/>
      </w:rPr>
    </w:lvl>
  </w:abstractNum>
  <w:abstractNum w:abstractNumId="12">
    <w:nsid w:val="789B1712"/>
    <w:multiLevelType w:val="hybridMultilevel"/>
    <w:tmpl w:val="5322D8BA"/>
    <w:lvl w:ilvl="0" w:tplc="0B46C11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D274D8"/>
    <w:multiLevelType w:val="multilevel"/>
    <w:tmpl w:val="FDF09E3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AE504C0"/>
    <w:multiLevelType w:val="hybridMultilevel"/>
    <w:tmpl w:val="CDDE637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1"/>
  </w:num>
  <w:num w:numId="4">
    <w:abstractNumId w:val="13"/>
  </w:num>
  <w:num w:numId="5">
    <w:abstractNumId w:val="7"/>
  </w:num>
  <w:num w:numId="6">
    <w:abstractNumId w:val="8"/>
  </w:num>
  <w:num w:numId="7">
    <w:abstractNumId w:val="3"/>
  </w:num>
  <w:num w:numId="8">
    <w:abstractNumId w:val="5"/>
  </w:num>
  <w:num w:numId="9">
    <w:abstractNumId w:val="14"/>
  </w:num>
  <w:num w:numId="10">
    <w:abstractNumId w:val="10"/>
  </w:num>
  <w:num w:numId="11">
    <w:abstractNumId w:val="9"/>
  </w:num>
  <w:num w:numId="12">
    <w:abstractNumId w:val="4"/>
  </w:num>
  <w:num w:numId="13">
    <w:abstractNumId w:val="0"/>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41DAF"/>
    <w:rsid w:val="00004B44"/>
    <w:rsid w:val="00026B52"/>
    <w:rsid w:val="00032CB0"/>
    <w:rsid w:val="00052E12"/>
    <w:rsid w:val="00057538"/>
    <w:rsid w:val="00057C50"/>
    <w:rsid w:val="00062200"/>
    <w:rsid w:val="00097DE6"/>
    <w:rsid w:val="000C51CC"/>
    <w:rsid w:val="000D5595"/>
    <w:rsid w:val="000E17D0"/>
    <w:rsid w:val="0010277A"/>
    <w:rsid w:val="00115037"/>
    <w:rsid w:val="001278DA"/>
    <w:rsid w:val="00185198"/>
    <w:rsid w:val="001A72FB"/>
    <w:rsid w:val="001B1898"/>
    <w:rsid w:val="001B670E"/>
    <w:rsid w:val="001C03D0"/>
    <w:rsid w:val="002116F8"/>
    <w:rsid w:val="0022442F"/>
    <w:rsid w:val="00225221"/>
    <w:rsid w:val="0024514B"/>
    <w:rsid w:val="00275547"/>
    <w:rsid w:val="0029729A"/>
    <w:rsid w:val="002F4AB5"/>
    <w:rsid w:val="003151E3"/>
    <w:rsid w:val="00320AA6"/>
    <w:rsid w:val="00323284"/>
    <w:rsid w:val="003337C7"/>
    <w:rsid w:val="00353990"/>
    <w:rsid w:val="00370B51"/>
    <w:rsid w:val="003A2D17"/>
    <w:rsid w:val="003A5C3F"/>
    <w:rsid w:val="003E3BDC"/>
    <w:rsid w:val="00402CA4"/>
    <w:rsid w:val="0041157B"/>
    <w:rsid w:val="00424C94"/>
    <w:rsid w:val="00450000"/>
    <w:rsid w:val="00451B54"/>
    <w:rsid w:val="00456B71"/>
    <w:rsid w:val="00476A0A"/>
    <w:rsid w:val="0049243E"/>
    <w:rsid w:val="004F50D2"/>
    <w:rsid w:val="00523FA5"/>
    <w:rsid w:val="0054024D"/>
    <w:rsid w:val="005508C8"/>
    <w:rsid w:val="0055131E"/>
    <w:rsid w:val="005A75EE"/>
    <w:rsid w:val="005B3BCF"/>
    <w:rsid w:val="005D60AF"/>
    <w:rsid w:val="0062534C"/>
    <w:rsid w:val="006461A9"/>
    <w:rsid w:val="00647F38"/>
    <w:rsid w:val="00662946"/>
    <w:rsid w:val="006652F2"/>
    <w:rsid w:val="00674248"/>
    <w:rsid w:val="006804C9"/>
    <w:rsid w:val="006918C4"/>
    <w:rsid w:val="006930BD"/>
    <w:rsid w:val="006A1B15"/>
    <w:rsid w:val="006B04E6"/>
    <w:rsid w:val="006C2061"/>
    <w:rsid w:val="006C40C9"/>
    <w:rsid w:val="006F3EF4"/>
    <w:rsid w:val="006F5F7D"/>
    <w:rsid w:val="00711D4F"/>
    <w:rsid w:val="0071450D"/>
    <w:rsid w:val="007300A1"/>
    <w:rsid w:val="00743BD0"/>
    <w:rsid w:val="00757853"/>
    <w:rsid w:val="007743D5"/>
    <w:rsid w:val="007924CF"/>
    <w:rsid w:val="00794564"/>
    <w:rsid w:val="00795E93"/>
    <w:rsid w:val="007F31FF"/>
    <w:rsid w:val="00811CBB"/>
    <w:rsid w:val="00841DAF"/>
    <w:rsid w:val="008509EE"/>
    <w:rsid w:val="00854C83"/>
    <w:rsid w:val="008739DC"/>
    <w:rsid w:val="008956D7"/>
    <w:rsid w:val="008C0888"/>
    <w:rsid w:val="008D4E4F"/>
    <w:rsid w:val="0090516D"/>
    <w:rsid w:val="00936E8E"/>
    <w:rsid w:val="009433BD"/>
    <w:rsid w:val="009506ED"/>
    <w:rsid w:val="009508CF"/>
    <w:rsid w:val="00964F87"/>
    <w:rsid w:val="009A0933"/>
    <w:rsid w:val="009A6F3A"/>
    <w:rsid w:val="009F6D03"/>
    <w:rsid w:val="00A17E90"/>
    <w:rsid w:val="00A217ED"/>
    <w:rsid w:val="00A2322F"/>
    <w:rsid w:val="00A23F6D"/>
    <w:rsid w:val="00A479C1"/>
    <w:rsid w:val="00AA7E57"/>
    <w:rsid w:val="00AB6A20"/>
    <w:rsid w:val="00AD3183"/>
    <w:rsid w:val="00AD4453"/>
    <w:rsid w:val="00AE15C1"/>
    <w:rsid w:val="00B20F35"/>
    <w:rsid w:val="00B76027"/>
    <w:rsid w:val="00B825BF"/>
    <w:rsid w:val="00C0330C"/>
    <w:rsid w:val="00C04278"/>
    <w:rsid w:val="00C2772B"/>
    <w:rsid w:val="00C4025F"/>
    <w:rsid w:val="00C6721B"/>
    <w:rsid w:val="00C749D5"/>
    <w:rsid w:val="00C96DA3"/>
    <w:rsid w:val="00CC58FE"/>
    <w:rsid w:val="00CF01B1"/>
    <w:rsid w:val="00D01D91"/>
    <w:rsid w:val="00D20DA6"/>
    <w:rsid w:val="00D21D3E"/>
    <w:rsid w:val="00D26F4C"/>
    <w:rsid w:val="00D4589B"/>
    <w:rsid w:val="00D479CC"/>
    <w:rsid w:val="00D50E7B"/>
    <w:rsid w:val="00D576BA"/>
    <w:rsid w:val="00D641D6"/>
    <w:rsid w:val="00D80A8B"/>
    <w:rsid w:val="00D93504"/>
    <w:rsid w:val="00DA3C0C"/>
    <w:rsid w:val="00DA7C10"/>
    <w:rsid w:val="00DE6449"/>
    <w:rsid w:val="00DF6762"/>
    <w:rsid w:val="00E032DD"/>
    <w:rsid w:val="00E1786A"/>
    <w:rsid w:val="00E83C39"/>
    <w:rsid w:val="00EB7AC1"/>
    <w:rsid w:val="00EF48C7"/>
    <w:rsid w:val="00EF73D4"/>
    <w:rsid w:val="00F154E0"/>
    <w:rsid w:val="00F42AFC"/>
    <w:rsid w:val="00F74853"/>
    <w:rsid w:val="00F80DA4"/>
    <w:rsid w:val="00FB40D2"/>
    <w:rsid w:val="00FC4AC8"/>
    <w:rsid w:val="00FD4D6C"/>
    <w:rsid w:val="00FD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7D"/>
    <w:pPr>
      <w:widowControl w:val="0"/>
      <w:autoSpaceDE w:val="0"/>
      <w:autoSpaceDN w:val="0"/>
      <w:adjustRightInd w:val="0"/>
    </w:pPr>
    <w:rPr>
      <w:sz w:val="24"/>
      <w:szCs w:val="24"/>
    </w:rPr>
  </w:style>
  <w:style w:type="paragraph" w:styleId="Heading1">
    <w:name w:val="heading 1"/>
    <w:basedOn w:val="Normal"/>
    <w:next w:val="Normal"/>
    <w:link w:val="Heading1Char"/>
    <w:qFormat/>
    <w:rsid w:val="00D80A8B"/>
    <w:pPr>
      <w:widowControl/>
      <w:numPr>
        <w:numId w:val="15"/>
      </w:numPr>
      <w:autoSpaceDE/>
      <w:autoSpaceDN/>
      <w:adjustRightInd/>
      <w:spacing w:after="240" w:line="480" w:lineRule="auto"/>
      <w:jc w:val="both"/>
      <w:outlineLvl w:val="0"/>
    </w:pPr>
    <w:rPr>
      <w:b/>
      <w:bCs/>
    </w:rPr>
  </w:style>
  <w:style w:type="paragraph" w:styleId="Heading2">
    <w:name w:val="heading 2"/>
    <w:basedOn w:val="Normal"/>
    <w:next w:val="Normal"/>
    <w:link w:val="Heading2Char"/>
    <w:qFormat/>
    <w:rsid w:val="00D80A8B"/>
    <w:pPr>
      <w:widowControl/>
      <w:numPr>
        <w:ilvl w:val="1"/>
        <w:numId w:val="15"/>
      </w:numPr>
      <w:autoSpaceDE/>
      <w:autoSpaceDN/>
      <w:adjustRightInd/>
      <w:spacing w:after="240" w:line="480" w:lineRule="auto"/>
      <w:jc w:val="both"/>
      <w:outlineLvl w:val="1"/>
    </w:pPr>
    <w:rPr>
      <w:bCs/>
      <w:iCs/>
      <w:szCs w:val="28"/>
    </w:rPr>
  </w:style>
  <w:style w:type="paragraph" w:styleId="Heading3">
    <w:name w:val="heading 3"/>
    <w:basedOn w:val="Normal"/>
    <w:next w:val="Normal"/>
    <w:link w:val="Heading3Char"/>
    <w:qFormat/>
    <w:rsid w:val="00D80A8B"/>
    <w:pPr>
      <w:widowControl/>
      <w:numPr>
        <w:ilvl w:val="2"/>
        <w:numId w:val="15"/>
      </w:numPr>
      <w:autoSpaceDE/>
      <w:autoSpaceDN/>
      <w:adjustRightInd/>
      <w:spacing w:after="240" w:line="480" w:lineRule="auto"/>
      <w:jc w:val="both"/>
      <w:outlineLvl w:val="2"/>
    </w:pPr>
    <w:rPr>
      <w:bCs/>
      <w:szCs w:val="26"/>
    </w:rPr>
  </w:style>
  <w:style w:type="paragraph" w:styleId="Heading4">
    <w:name w:val="heading 4"/>
    <w:basedOn w:val="Normal"/>
    <w:next w:val="Normal"/>
    <w:link w:val="Heading4Char"/>
    <w:qFormat/>
    <w:rsid w:val="00D80A8B"/>
    <w:pPr>
      <w:widowControl/>
      <w:numPr>
        <w:ilvl w:val="3"/>
        <w:numId w:val="15"/>
      </w:numPr>
      <w:autoSpaceDE/>
      <w:autoSpaceDN/>
      <w:adjustRightInd/>
      <w:spacing w:after="240" w:line="480" w:lineRule="auto"/>
      <w:jc w:val="both"/>
      <w:outlineLvl w:val="3"/>
    </w:pPr>
    <w:rPr>
      <w:bCs/>
      <w:szCs w:val="28"/>
    </w:rPr>
  </w:style>
  <w:style w:type="paragraph" w:styleId="Heading5">
    <w:name w:val="heading 5"/>
    <w:basedOn w:val="Normal"/>
    <w:next w:val="Normal"/>
    <w:link w:val="Heading5Char"/>
    <w:qFormat/>
    <w:rsid w:val="00D80A8B"/>
    <w:pPr>
      <w:widowControl/>
      <w:numPr>
        <w:ilvl w:val="4"/>
        <w:numId w:val="15"/>
      </w:numPr>
      <w:autoSpaceDE/>
      <w:autoSpaceDN/>
      <w:adjustRightInd/>
      <w:spacing w:after="240" w:line="480" w:lineRule="auto"/>
      <w:jc w:val="both"/>
      <w:outlineLvl w:val="4"/>
    </w:pPr>
    <w:rPr>
      <w:bCs/>
      <w:iCs/>
      <w:szCs w:val="26"/>
    </w:rPr>
  </w:style>
  <w:style w:type="paragraph" w:styleId="Heading6">
    <w:name w:val="heading 6"/>
    <w:basedOn w:val="Normal"/>
    <w:next w:val="Normal"/>
    <w:link w:val="Heading6Char"/>
    <w:qFormat/>
    <w:rsid w:val="00D80A8B"/>
    <w:pPr>
      <w:widowControl/>
      <w:numPr>
        <w:ilvl w:val="5"/>
        <w:numId w:val="15"/>
      </w:numPr>
      <w:autoSpaceDE/>
      <w:autoSpaceDN/>
      <w:adjustRightInd/>
      <w:spacing w:after="240" w:line="480" w:lineRule="auto"/>
      <w:jc w:val="both"/>
      <w:outlineLvl w:val="5"/>
    </w:pPr>
    <w:rPr>
      <w:bCs/>
      <w:szCs w:val="22"/>
    </w:rPr>
  </w:style>
  <w:style w:type="paragraph" w:styleId="Heading7">
    <w:name w:val="heading 7"/>
    <w:basedOn w:val="Normal"/>
    <w:next w:val="Normal"/>
    <w:link w:val="Heading7Char"/>
    <w:qFormat/>
    <w:rsid w:val="00D80A8B"/>
    <w:pPr>
      <w:widowControl/>
      <w:numPr>
        <w:ilvl w:val="6"/>
        <w:numId w:val="15"/>
      </w:numPr>
      <w:autoSpaceDE/>
      <w:autoSpaceDN/>
      <w:adjustRightInd/>
      <w:spacing w:after="240" w:line="480" w:lineRule="auto"/>
      <w:jc w:val="both"/>
      <w:outlineLvl w:val="6"/>
    </w:pPr>
  </w:style>
  <w:style w:type="paragraph" w:styleId="Heading8">
    <w:name w:val="heading 8"/>
    <w:basedOn w:val="Normal"/>
    <w:next w:val="Normal"/>
    <w:link w:val="Heading8Char"/>
    <w:qFormat/>
    <w:rsid w:val="00D80A8B"/>
    <w:pPr>
      <w:widowControl/>
      <w:numPr>
        <w:ilvl w:val="7"/>
        <w:numId w:val="15"/>
      </w:numPr>
      <w:autoSpaceDE/>
      <w:autoSpaceDN/>
      <w:adjustRightInd/>
      <w:spacing w:after="240" w:line="480" w:lineRule="auto"/>
      <w:jc w:val="both"/>
      <w:outlineLvl w:val="7"/>
    </w:pPr>
    <w:rPr>
      <w:iCs/>
    </w:rPr>
  </w:style>
  <w:style w:type="paragraph" w:styleId="Heading9">
    <w:name w:val="heading 9"/>
    <w:basedOn w:val="Normal"/>
    <w:next w:val="Normal"/>
    <w:link w:val="Heading9Char"/>
    <w:qFormat/>
    <w:rsid w:val="00D80A8B"/>
    <w:pPr>
      <w:widowControl/>
      <w:numPr>
        <w:ilvl w:val="8"/>
        <w:numId w:val="15"/>
      </w:numPr>
      <w:autoSpaceDE/>
      <w:autoSpaceDN/>
      <w:adjustRightInd/>
      <w:spacing w:after="240" w:line="480" w:lineRule="auto"/>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F5F7D"/>
  </w:style>
  <w:style w:type="character" w:customStyle="1" w:styleId="Hypertext">
    <w:name w:val="Hypertext"/>
    <w:rsid w:val="006F5F7D"/>
    <w:rPr>
      <w:color w:val="0000FF"/>
      <w:u w:val="single"/>
    </w:rPr>
  </w:style>
  <w:style w:type="paragraph" w:styleId="BalloonText">
    <w:name w:val="Balloon Text"/>
    <w:basedOn w:val="Normal"/>
    <w:semiHidden/>
    <w:rsid w:val="00F42AFC"/>
    <w:rPr>
      <w:rFonts w:ascii="Tahoma" w:hAnsi="Tahoma" w:cs="Tahoma"/>
      <w:sz w:val="16"/>
      <w:szCs w:val="16"/>
    </w:rPr>
  </w:style>
  <w:style w:type="paragraph" w:styleId="Header">
    <w:name w:val="header"/>
    <w:basedOn w:val="Normal"/>
    <w:link w:val="HeaderChar"/>
    <w:uiPriority w:val="99"/>
    <w:rsid w:val="00674248"/>
    <w:pPr>
      <w:tabs>
        <w:tab w:val="center" w:pos="4680"/>
        <w:tab w:val="right" w:pos="9360"/>
      </w:tabs>
    </w:pPr>
  </w:style>
  <w:style w:type="character" w:customStyle="1" w:styleId="HeaderChar">
    <w:name w:val="Header Char"/>
    <w:basedOn w:val="DefaultParagraphFont"/>
    <w:link w:val="Header"/>
    <w:uiPriority w:val="99"/>
    <w:rsid w:val="00674248"/>
    <w:rPr>
      <w:sz w:val="24"/>
      <w:szCs w:val="24"/>
    </w:rPr>
  </w:style>
  <w:style w:type="paragraph" w:styleId="Footer">
    <w:name w:val="footer"/>
    <w:basedOn w:val="Normal"/>
    <w:link w:val="FooterChar"/>
    <w:uiPriority w:val="99"/>
    <w:rsid w:val="00674248"/>
    <w:pPr>
      <w:tabs>
        <w:tab w:val="center" w:pos="4680"/>
        <w:tab w:val="right" w:pos="9360"/>
      </w:tabs>
    </w:pPr>
  </w:style>
  <w:style w:type="character" w:customStyle="1" w:styleId="FooterChar">
    <w:name w:val="Footer Char"/>
    <w:basedOn w:val="DefaultParagraphFont"/>
    <w:link w:val="Footer"/>
    <w:uiPriority w:val="99"/>
    <w:rsid w:val="00674248"/>
    <w:rPr>
      <w:sz w:val="24"/>
      <w:szCs w:val="24"/>
    </w:rPr>
  </w:style>
  <w:style w:type="table" w:styleId="TableGrid">
    <w:name w:val="Table Grid"/>
    <w:basedOn w:val="TableNormal"/>
    <w:uiPriority w:val="1"/>
    <w:rsid w:val="0067424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80A8B"/>
    <w:rPr>
      <w:b/>
      <w:bCs/>
      <w:sz w:val="24"/>
      <w:szCs w:val="24"/>
    </w:rPr>
  </w:style>
  <w:style w:type="character" w:customStyle="1" w:styleId="Heading2Char">
    <w:name w:val="Heading 2 Char"/>
    <w:basedOn w:val="DefaultParagraphFont"/>
    <w:link w:val="Heading2"/>
    <w:rsid w:val="00D80A8B"/>
    <w:rPr>
      <w:bCs/>
      <w:iCs/>
      <w:sz w:val="24"/>
      <w:szCs w:val="28"/>
    </w:rPr>
  </w:style>
  <w:style w:type="character" w:customStyle="1" w:styleId="Heading3Char">
    <w:name w:val="Heading 3 Char"/>
    <w:basedOn w:val="DefaultParagraphFont"/>
    <w:link w:val="Heading3"/>
    <w:rsid w:val="00D80A8B"/>
    <w:rPr>
      <w:bCs/>
      <w:sz w:val="24"/>
      <w:szCs w:val="26"/>
    </w:rPr>
  </w:style>
  <w:style w:type="character" w:customStyle="1" w:styleId="Heading4Char">
    <w:name w:val="Heading 4 Char"/>
    <w:basedOn w:val="DefaultParagraphFont"/>
    <w:link w:val="Heading4"/>
    <w:rsid w:val="00D80A8B"/>
    <w:rPr>
      <w:bCs/>
      <w:sz w:val="24"/>
      <w:szCs w:val="28"/>
    </w:rPr>
  </w:style>
  <w:style w:type="character" w:customStyle="1" w:styleId="Heading5Char">
    <w:name w:val="Heading 5 Char"/>
    <w:basedOn w:val="DefaultParagraphFont"/>
    <w:link w:val="Heading5"/>
    <w:rsid w:val="00D80A8B"/>
    <w:rPr>
      <w:bCs/>
      <w:iCs/>
      <w:sz w:val="24"/>
      <w:szCs w:val="26"/>
    </w:rPr>
  </w:style>
  <w:style w:type="character" w:customStyle="1" w:styleId="Heading6Char">
    <w:name w:val="Heading 6 Char"/>
    <w:basedOn w:val="DefaultParagraphFont"/>
    <w:link w:val="Heading6"/>
    <w:rsid w:val="00D80A8B"/>
    <w:rPr>
      <w:bCs/>
      <w:sz w:val="24"/>
      <w:szCs w:val="22"/>
    </w:rPr>
  </w:style>
  <w:style w:type="character" w:customStyle="1" w:styleId="Heading7Char">
    <w:name w:val="Heading 7 Char"/>
    <w:basedOn w:val="DefaultParagraphFont"/>
    <w:link w:val="Heading7"/>
    <w:rsid w:val="00D80A8B"/>
    <w:rPr>
      <w:sz w:val="24"/>
      <w:szCs w:val="24"/>
    </w:rPr>
  </w:style>
  <w:style w:type="character" w:customStyle="1" w:styleId="Heading8Char">
    <w:name w:val="Heading 8 Char"/>
    <w:basedOn w:val="DefaultParagraphFont"/>
    <w:link w:val="Heading8"/>
    <w:rsid w:val="00D80A8B"/>
    <w:rPr>
      <w:iCs/>
      <w:sz w:val="24"/>
      <w:szCs w:val="24"/>
    </w:rPr>
  </w:style>
  <w:style w:type="character" w:customStyle="1" w:styleId="Heading9Char">
    <w:name w:val="Heading 9 Char"/>
    <w:basedOn w:val="DefaultParagraphFont"/>
    <w:link w:val="Heading9"/>
    <w:rsid w:val="00D80A8B"/>
    <w:rPr>
      <w:sz w:val="24"/>
      <w:szCs w:val="22"/>
    </w:rPr>
  </w:style>
  <w:style w:type="paragraph" w:styleId="ListParagraph">
    <w:name w:val="List Paragraph"/>
    <w:basedOn w:val="Normal"/>
    <w:uiPriority w:val="34"/>
    <w:qFormat/>
    <w:rsid w:val="00E83C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9103</TotalTime>
  <Pages>5</Pages>
  <Words>1325</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RR45-21557</vt:lpstr>
    </vt:vector>
  </TitlesOfParts>
  <Company>Indiana Alcohol and Tobacco Commission</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RR45-21557</dc:title>
  <dc:subject/>
  <dc:creator>Davey Neal</dc:creator>
  <cp:keywords/>
  <dc:description/>
  <cp:lastModifiedBy>kchew</cp:lastModifiedBy>
  <cp:revision>14</cp:revision>
  <cp:lastPrinted>2013-01-02T13:40:00Z</cp:lastPrinted>
  <dcterms:created xsi:type="dcterms:W3CDTF">2012-12-20T16:03:00Z</dcterms:created>
  <dcterms:modified xsi:type="dcterms:W3CDTF">2013-01-02T13:42:00Z</dcterms:modified>
</cp:coreProperties>
</file>