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2" w:rsidRPr="00FD3C52" w:rsidRDefault="00FD3C52" w:rsidP="00FD3C52">
      <w:pPr>
        <w:jc w:val="center"/>
        <w:rPr>
          <w:rFonts w:ascii="Verdana" w:hAnsi="Verdana"/>
          <w:b/>
          <w:sz w:val="40"/>
          <w:szCs w:val="40"/>
        </w:rPr>
      </w:pPr>
      <w:r w:rsidRPr="00FD3C52">
        <w:rPr>
          <w:rFonts w:ascii="Verdana" w:hAnsi="Verdana"/>
          <w:b/>
          <w:sz w:val="40"/>
          <w:szCs w:val="40"/>
        </w:rPr>
        <w:t xml:space="preserve">Annual Report Workshop </w:t>
      </w:r>
    </w:p>
    <w:p w:rsidR="005D481C" w:rsidRPr="00FD3C52" w:rsidRDefault="002B08B6" w:rsidP="005D481C">
      <w:pPr>
        <w:jc w:val="center"/>
        <w:rPr>
          <w:rFonts w:ascii="Verdana" w:hAnsi="Verdana"/>
          <w:b/>
          <w:sz w:val="32"/>
          <w:szCs w:val="32"/>
        </w:rPr>
      </w:pPr>
      <w:r w:rsidRPr="00FD3C52">
        <w:rPr>
          <w:rFonts w:ascii="Verdana" w:hAnsi="Verdana"/>
          <w:b/>
          <w:sz w:val="32"/>
          <w:szCs w:val="32"/>
        </w:rPr>
        <w:t>FAQs/</w:t>
      </w:r>
      <w:r w:rsidR="00FD7D4F" w:rsidRPr="00FD3C52">
        <w:rPr>
          <w:rFonts w:ascii="Verdana" w:hAnsi="Verdana"/>
          <w:b/>
          <w:sz w:val="32"/>
          <w:szCs w:val="32"/>
        </w:rPr>
        <w:t>Audience Questions</w:t>
      </w:r>
    </w:p>
    <w:p w:rsidR="005D481C" w:rsidRPr="005D481C" w:rsidRDefault="00FD3C52" w:rsidP="005D481C">
      <w:pPr>
        <w:jc w:val="center"/>
        <w:rPr>
          <w:rFonts w:ascii="Verdana" w:hAnsi="Verdana"/>
          <w:b/>
        </w:rPr>
      </w:pPr>
      <w:r w:rsidRPr="005D481C">
        <w:rPr>
          <w:rFonts w:ascii="Verdana" w:hAnsi="Verdana"/>
          <w:b/>
        </w:rPr>
        <w:t xml:space="preserve"> </w:t>
      </w:r>
      <w:r w:rsidR="005D481C" w:rsidRPr="005D481C">
        <w:rPr>
          <w:rFonts w:ascii="Verdana" w:hAnsi="Verdana"/>
          <w:b/>
        </w:rPr>
        <w:t>(November 6</w:t>
      </w:r>
      <w:r w:rsidR="005D481C" w:rsidRPr="005D481C">
        <w:rPr>
          <w:rFonts w:ascii="Verdana" w:hAnsi="Verdana"/>
          <w:b/>
          <w:vertAlign w:val="superscript"/>
        </w:rPr>
        <w:t>th</w:t>
      </w:r>
      <w:r w:rsidR="005D481C" w:rsidRPr="005D481C">
        <w:rPr>
          <w:rFonts w:ascii="Verdana" w:hAnsi="Verdana"/>
          <w:b/>
        </w:rPr>
        <w:t xml:space="preserve"> and November 19</w:t>
      </w:r>
      <w:r w:rsidR="005D481C" w:rsidRPr="005D481C">
        <w:rPr>
          <w:rFonts w:ascii="Verdana" w:hAnsi="Verdana"/>
          <w:b/>
          <w:vertAlign w:val="superscript"/>
        </w:rPr>
        <w:t>th</w:t>
      </w:r>
      <w:r w:rsidR="005D481C" w:rsidRPr="005D481C">
        <w:rPr>
          <w:rFonts w:ascii="Verdana" w:hAnsi="Verdana"/>
          <w:b/>
        </w:rPr>
        <w:t>)</w:t>
      </w:r>
    </w:p>
    <w:p w:rsidR="005D481C" w:rsidRPr="005D481C" w:rsidRDefault="005D481C">
      <w:pPr>
        <w:rPr>
          <w:rFonts w:ascii="Verdana" w:hAnsi="Verdana"/>
        </w:rPr>
      </w:pPr>
    </w:p>
    <w:p w:rsidR="005C70D9" w:rsidRPr="007A0C72" w:rsidRDefault="00F2429B">
      <w:pPr>
        <w:rPr>
          <w:rFonts w:ascii="Verdana" w:hAnsi="Verdana"/>
          <w:b/>
        </w:rPr>
      </w:pPr>
      <w:r w:rsidRPr="007A0C72">
        <w:rPr>
          <w:rFonts w:ascii="Verdana" w:hAnsi="Verdana"/>
          <w:b/>
        </w:rPr>
        <w:t>Report availability-</w:t>
      </w:r>
      <w:r w:rsidR="009B49BA" w:rsidRPr="007A0C72">
        <w:rPr>
          <w:rFonts w:ascii="Verdana" w:hAnsi="Verdana"/>
          <w:b/>
        </w:rPr>
        <w:t xml:space="preserve"> </w:t>
      </w:r>
    </w:p>
    <w:p w:rsidR="00F2429B" w:rsidRPr="005C70D9" w:rsidRDefault="009B49BA" w:rsidP="005C70D9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5C70D9">
        <w:rPr>
          <w:rFonts w:ascii="Verdana" w:hAnsi="Verdana"/>
        </w:rPr>
        <w:t xml:space="preserve">The report will be available </w:t>
      </w:r>
      <w:r w:rsidR="00F2429B" w:rsidRPr="005C70D9">
        <w:rPr>
          <w:rFonts w:ascii="Verdana" w:hAnsi="Verdana"/>
        </w:rPr>
        <w:t>Mid-Dece</w:t>
      </w:r>
      <w:r w:rsidR="00150C29">
        <w:rPr>
          <w:rFonts w:ascii="Verdana" w:hAnsi="Verdana"/>
        </w:rPr>
        <w:t>mber through February 1, 2014 (d</w:t>
      </w:r>
      <w:r w:rsidR="00F2429B" w:rsidRPr="005C70D9">
        <w:rPr>
          <w:rFonts w:ascii="Verdana" w:hAnsi="Verdana"/>
        </w:rPr>
        <w:t>ue date</w:t>
      </w:r>
      <w:r w:rsidR="007A0C72">
        <w:rPr>
          <w:rFonts w:ascii="Verdana" w:hAnsi="Verdana"/>
        </w:rPr>
        <w:t xml:space="preserve"> per </w:t>
      </w:r>
      <w:r w:rsidR="007A0C72" w:rsidRPr="007A0C72">
        <w:rPr>
          <w:rFonts w:ascii="Verdana" w:hAnsi="Verdana"/>
        </w:rPr>
        <w:t>IAC 590-6-1-4 Rule 6</w:t>
      </w:r>
      <w:r w:rsidR="00F2429B" w:rsidRPr="005C70D9">
        <w:rPr>
          <w:rFonts w:ascii="Verdana" w:hAnsi="Verdana"/>
        </w:rPr>
        <w:t>)</w:t>
      </w:r>
      <w:r w:rsidRPr="005C70D9">
        <w:rPr>
          <w:rFonts w:ascii="Verdana" w:hAnsi="Verdana"/>
        </w:rPr>
        <w:t xml:space="preserve">. </w:t>
      </w:r>
    </w:p>
    <w:p w:rsidR="00F2429B" w:rsidRDefault="00F2429B">
      <w:pPr>
        <w:rPr>
          <w:rFonts w:ascii="Verdana" w:hAnsi="Verdana"/>
        </w:rPr>
      </w:pPr>
    </w:p>
    <w:p w:rsidR="00FD3C52" w:rsidRPr="007A0C72" w:rsidRDefault="000C31E4">
      <w:pPr>
        <w:rPr>
          <w:rFonts w:ascii="Verdana" w:hAnsi="Verdana"/>
          <w:b/>
        </w:rPr>
      </w:pPr>
      <w:r>
        <w:rPr>
          <w:rFonts w:ascii="Verdana" w:hAnsi="Verdana"/>
          <w:b/>
        </w:rPr>
        <w:t>Accessing the Survey</w:t>
      </w:r>
      <w:r w:rsidR="00FD3C52" w:rsidRPr="007A0C72">
        <w:rPr>
          <w:rFonts w:ascii="Verdana" w:hAnsi="Verdana"/>
          <w:b/>
        </w:rPr>
        <w:t>-</w:t>
      </w:r>
    </w:p>
    <w:p w:rsidR="00735807" w:rsidRDefault="00735807" w:rsidP="00735807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User name and password</w:t>
      </w:r>
      <w:r w:rsidRPr="005C70D9">
        <w:rPr>
          <w:rFonts w:ascii="Verdana" w:hAnsi="Verdana"/>
        </w:rPr>
        <w:t xml:space="preserve"> will be </w:t>
      </w:r>
      <w:r w:rsidRPr="005C70D9">
        <w:rPr>
          <w:rFonts w:ascii="Verdana" w:hAnsi="Verdana"/>
          <w:b/>
        </w:rPr>
        <w:t>emailed</w:t>
      </w:r>
      <w:r w:rsidRPr="005C70D9">
        <w:rPr>
          <w:rFonts w:ascii="Verdana" w:hAnsi="Verdana"/>
        </w:rPr>
        <w:t xml:space="preserve"> to the director’s email address (if we don’t have your current address on file, now is the time to notify us</w:t>
      </w:r>
      <w:r>
        <w:rPr>
          <w:rFonts w:ascii="Verdana" w:hAnsi="Verdana"/>
        </w:rPr>
        <w:t>!</w:t>
      </w:r>
      <w:r w:rsidRPr="005C70D9">
        <w:rPr>
          <w:rFonts w:ascii="Verdana" w:hAnsi="Verdana"/>
        </w:rPr>
        <w:t>)</w:t>
      </w:r>
    </w:p>
    <w:p w:rsidR="007A0C72" w:rsidRDefault="007A0C72" w:rsidP="00FD3C5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Your </w:t>
      </w:r>
      <w:r w:rsidR="00735807">
        <w:rPr>
          <w:rFonts w:ascii="Verdana" w:hAnsi="Verdana"/>
        </w:rPr>
        <w:t>user name</w:t>
      </w:r>
      <w:r>
        <w:rPr>
          <w:rFonts w:ascii="Verdana" w:hAnsi="Verdana"/>
        </w:rPr>
        <w:t xml:space="preserve">/password </w:t>
      </w:r>
      <w:proofErr w:type="gramStart"/>
      <w:r w:rsidR="00735807">
        <w:rPr>
          <w:rFonts w:ascii="Verdana" w:hAnsi="Verdana"/>
        </w:rPr>
        <w:t>are</w:t>
      </w:r>
      <w:proofErr w:type="gramEnd"/>
      <w:r>
        <w:rPr>
          <w:rFonts w:ascii="Verdana" w:hAnsi="Verdana"/>
        </w:rPr>
        <w:t xml:space="preserve"> the same as last year.</w:t>
      </w:r>
    </w:p>
    <w:p w:rsidR="00735807" w:rsidRPr="00735807" w:rsidRDefault="00735807" w:rsidP="00735807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Access </w:t>
      </w:r>
      <w:r w:rsidR="00150C29">
        <w:rPr>
          <w:rFonts w:ascii="Verdana" w:hAnsi="Verdana"/>
        </w:rPr>
        <w:t>the annual report</w:t>
      </w:r>
      <w:r>
        <w:rPr>
          <w:rFonts w:ascii="Verdana" w:hAnsi="Verdana"/>
        </w:rPr>
        <w:t xml:space="preserve"> at</w:t>
      </w:r>
      <w:r w:rsidR="00150C29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hyperlink r:id="rId5" w:history="1">
        <w:r w:rsidRPr="00AB515A">
          <w:rPr>
            <w:rStyle w:val="Hyperlink"/>
            <w:rFonts w:ascii="Verdana" w:hAnsi="Verdana"/>
          </w:rPr>
          <w:t>http://collect.btol.com</w:t>
        </w:r>
      </w:hyperlink>
      <w:r>
        <w:rPr>
          <w:rFonts w:ascii="Verdana" w:hAnsi="Verdana"/>
        </w:rPr>
        <w:t xml:space="preserve"> </w:t>
      </w:r>
    </w:p>
    <w:p w:rsidR="00FD3C52" w:rsidRDefault="00735807" w:rsidP="00FD3C5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User names and passwords are </w:t>
      </w:r>
      <w:r w:rsidRPr="00150C29">
        <w:rPr>
          <w:rFonts w:ascii="Verdana" w:hAnsi="Verdana"/>
          <w:u w:val="single"/>
        </w:rPr>
        <w:t>not</w:t>
      </w:r>
      <w:r>
        <w:rPr>
          <w:rFonts w:ascii="Verdana" w:hAnsi="Verdana"/>
        </w:rPr>
        <w:t xml:space="preserve"> case-</w:t>
      </w:r>
      <w:r w:rsidR="00FD3C52">
        <w:rPr>
          <w:rFonts w:ascii="Verdana" w:hAnsi="Verdana"/>
        </w:rPr>
        <w:t>sensitive.</w:t>
      </w:r>
    </w:p>
    <w:p w:rsidR="00FD3C52" w:rsidRDefault="00FD3C52" w:rsidP="00FD3C5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If you misplace your </w:t>
      </w:r>
      <w:r w:rsidR="00735807">
        <w:rPr>
          <w:rFonts w:ascii="Verdana" w:hAnsi="Verdana"/>
        </w:rPr>
        <w:t xml:space="preserve">user name or </w:t>
      </w:r>
      <w:r>
        <w:rPr>
          <w:rFonts w:ascii="Verdana" w:hAnsi="Verdana"/>
        </w:rPr>
        <w:t>password</w:t>
      </w:r>
      <w:r w:rsidR="007A0C72">
        <w:rPr>
          <w:rFonts w:ascii="Verdana" w:hAnsi="Verdana"/>
        </w:rPr>
        <w:t>,</w:t>
      </w:r>
      <w:r>
        <w:rPr>
          <w:rFonts w:ascii="Verdana" w:hAnsi="Verdana"/>
        </w:rPr>
        <w:t xml:space="preserve"> you can get it by contacting the </w:t>
      </w:r>
      <w:hyperlink r:id="rId6" w:history="1">
        <w:r w:rsidRPr="00150C29">
          <w:rPr>
            <w:rStyle w:val="Hyperlink"/>
            <w:rFonts w:ascii="Verdana" w:hAnsi="Verdana"/>
          </w:rPr>
          <w:t>LDO</w:t>
        </w:r>
      </w:hyperlink>
      <w:r>
        <w:rPr>
          <w:rFonts w:ascii="Verdana" w:hAnsi="Verdana"/>
        </w:rPr>
        <w:t xml:space="preserve"> </w:t>
      </w:r>
      <w:r w:rsidR="000C31E4">
        <w:rPr>
          <w:rFonts w:ascii="Verdana" w:hAnsi="Verdana"/>
        </w:rPr>
        <w:t>(</w:t>
      </w:r>
      <w:r w:rsidRPr="00735807">
        <w:rPr>
          <w:rFonts w:ascii="Verdana" w:hAnsi="Verdana"/>
          <w:i/>
        </w:rPr>
        <w:t>or</w:t>
      </w:r>
      <w:r>
        <w:rPr>
          <w:rFonts w:ascii="Verdana" w:hAnsi="Verdana"/>
        </w:rPr>
        <w:t xml:space="preserve"> </w:t>
      </w:r>
      <w:hyperlink r:id="rId7" w:history="1">
        <w:r w:rsidRPr="00150C29">
          <w:rPr>
            <w:rStyle w:val="Hyperlink"/>
            <w:rFonts w:ascii="Verdana" w:hAnsi="Verdana"/>
          </w:rPr>
          <w:t xml:space="preserve">emailing </w:t>
        </w:r>
        <w:proofErr w:type="spellStart"/>
        <w:r w:rsidRPr="00150C29">
          <w:rPr>
            <w:rStyle w:val="Hyperlink"/>
            <w:rFonts w:ascii="Verdana" w:hAnsi="Verdana"/>
          </w:rPr>
          <w:t>Bibliostat</w:t>
        </w:r>
        <w:proofErr w:type="spellEnd"/>
      </w:hyperlink>
      <w:r w:rsidR="000C31E4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FD3C52" w:rsidRDefault="00FD3C52" w:rsidP="00FD3C52">
      <w:pPr>
        <w:rPr>
          <w:rFonts w:ascii="Verdana" w:hAnsi="Verdana"/>
        </w:rPr>
      </w:pPr>
    </w:p>
    <w:p w:rsidR="00FD3C52" w:rsidRPr="007A0C72" w:rsidRDefault="00FD3C52" w:rsidP="00FD3C52">
      <w:pPr>
        <w:rPr>
          <w:rFonts w:ascii="Verdana" w:hAnsi="Verdana"/>
          <w:b/>
        </w:rPr>
      </w:pPr>
      <w:r w:rsidRPr="007A0C72">
        <w:rPr>
          <w:rFonts w:ascii="Verdana" w:hAnsi="Verdana"/>
          <w:b/>
        </w:rPr>
        <w:t>Navigating through the survey-</w:t>
      </w:r>
    </w:p>
    <w:p w:rsidR="007A0C72" w:rsidRPr="00150C29" w:rsidRDefault="007A0C72" w:rsidP="003542C1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Suggested Browser- Internet </w:t>
      </w:r>
      <w:r w:rsidRPr="007A0C72">
        <w:rPr>
          <w:rFonts w:ascii="Verdana" w:hAnsi="Verdana"/>
          <w:bCs/>
        </w:rPr>
        <w:t>Explorer 6.0</w:t>
      </w:r>
      <w:r w:rsidRPr="007A0C72">
        <w:rPr>
          <w:rFonts w:ascii="Verdana" w:hAnsi="Verdana"/>
        </w:rPr>
        <w:t> or higher</w:t>
      </w:r>
      <w:r w:rsidR="001D4107">
        <w:rPr>
          <w:rFonts w:ascii="Verdana" w:hAnsi="Verdana"/>
        </w:rPr>
        <w:t>,</w:t>
      </w:r>
      <w:r w:rsidRPr="007A0C72">
        <w:rPr>
          <w:rFonts w:ascii="Verdana" w:hAnsi="Verdana"/>
        </w:rPr>
        <w:t> </w:t>
      </w:r>
      <w:r w:rsidRPr="007A0C72">
        <w:rPr>
          <w:rFonts w:ascii="Verdana" w:hAnsi="Verdana"/>
          <w:bCs/>
        </w:rPr>
        <w:t>Firefox 1.5</w:t>
      </w:r>
      <w:r w:rsidRPr="007A0C72">
        <w:rPr>
          <w:rFonts w:ascii="Verdana" w:hAnsi="Verdana"/>
        </w:rPr>
        <w:t xml:space="preserve"> or </w:t>
      </w:r>
      <w:proofErr w:type="gramStart"/>
      <w:r w:rsidRPr="007A0C72">
        <w:rPr>
          <w:rFonts w:ascii="Verdana" w:hAnsi="Verdana"/>
        </w:rPr>
        <w:t>higher</w:t>
      </w:r>
      <w:r w:rsidR="001D4107">
        <w:rPr>
          <w:rFonts w:ascii="Verdana" w:hAnsi="Verdana"/>
        </w:rPr>
        <w:t>,</w:t>
      </w:r>
      <w:proofErr w:type="gramEnd"/>
      <w:r w:rsidRPr="007A0C72">
        <w:rPr>
          <w:rFonts w:ascii="Verdana" w:hAnsi="Verdana"/>
        </w:rPr>
        <w:t xml:space="preserve"> or any other </w:t>
      </w:r>
      <w:r w:rsidR="007F7123">
        <w:rPr>
          <w:rFonts w:ascii="Verdana" w:hAnsi="Verdana"/>
        </w:rPr>
        <w:t>compatible browser</w:t>
      </w:r>
      <w:r w:rsidR="001D4107">
        <w:rPr>
          <w:rFonts w:ascii="Verdana" w:hAnsi="Verdana"/>
        </w:rPr>
        <w:t xml:space="preserve"> (e.g. Chrome)</w:t>
      </w:r>
      <w:r w:rsidRPr="007A0C7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735807">
        <w:rPr>
          <w:rFonts w:ascii="Verdana" w:hAnsi="Verdana"/>
        </w:rPr>
        <w:t>Report w</w:t>
      </w:r>
      <w:r w:rsidR="003542C1">
        <w:rPr>
          <w:rFonts w:ascii="Verdana" w:hAnsi="Verdana"/>
        </w:rPr>
        <w:t xml:space="preserve">ill </w:t>
      </w:r>
      <w:r w:rsidRPr="003542C1">
        <w:rPr>
          <w:rFonts w:ascii="Verdana" w:hAnsi="Verdana"/>
        </w:rPr>
        <w:t>not work properly in </w:t>
      </w:r>
      <w:r w:rsidRPr="003542C1">
        <w:rPr>
          <w:rFonts w:ascii="Verdana" w:hAnsi="Verdana"/>
          <w:bCs/>
        </w:rPr>
        <w:t>Internet Explorer 10</w:t>
      </w:r>
      <w:r w:rsidR="003542C1">
        <w:rPr>
          <w:rFonts w:ascii="Verdana" w:hAnsi="Verdana"/>
        </w:rPr>
        <w:t>, but you</w:t>
      </w:r>
      <w:r w:rsidRPr="003542C1">
        <w:rPr>
          <w:rFonts w:ascii="Verdana" w:hAnsi="Verdana"/>
        </w:rPr>
        <w:t xml:space="preserve"> can resolve this by turning </w:t>
      </w:r>
      <w:r w:rsidRPr="00150C29">
        <w:rPr>
          <w:rFonts w:ascii="Verdana" w:hAnsi="Verdana"/>
        </w:rPr>
        <w:t xml:space="preserve">on </w:t>
      </w:r>
      <w:hyperlink r:id="rId8" w:tgtFrame="_blank" w:history="1">
        <w:r w:rsidRPr="00150C29">
          <w:rPr>
            <w:rStyle w:val="Hyperlink"/>
            <w:rFonts w:ascii="Verdana" w:hAnsi="Verdana"/>
            <w:bCs/>
          </w:rPr>
          <w:t>Compatibility View</w:t>
        </w:r>
      </w:hyperlink>
      <w:r w:rsidR="003542C1" w:rsidRPr="00150C29">
        <w:rPr>
          <w:rFonts w:ascii="Verdana" w:hAnsi="Verdana"/>
        </w:rPr>
        <w:t>.</w:t>
      </w:r>
    </w:p>
    <w:p w:rsidR="00FD3C52" w:rsidRDefault="00FD3C52" w:rsidP="007A0C72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A0C72">
        <w:rPr>
          <w:rFonts w:ascii="Verdana" w:hAnsi="Verdana"/>
        </w:rPr>
        <w:t>To submit your completed survey, go to the “Submit Survey” tab</w:t>
      </w:r>
      <w:r w:rsidR="007A0C72" w:rsidRPr="007A0C72">
        <w:rPr>
          <w:rFonts w:ascii="Verdana" w:hAnsi="Verdana"/>
        </w:rPr>
        <w:t xml:space="preserve">. You can also click the “Submit Survey” button </w:t>
      </w:r>
      <w:r w:rsidR="003542C1">
        <w:rPr>
          <w:rFonts w:ascii="Verdana" w:hAnsi="Verdana"/>
        </w:rPr>
        <w:t>under</w:t>
      </w:r>
      <w:r w:rsidR="007A0C72" w:rsidRPr="007A0C72">
        <w:rPr>
          <w:rFonts w:ascii="Verdana" w:hAnsi="Verdana"/>
        </w:rPr>
        <w:t xml:space="preserve"> the</w:t>
      </w:r>
      <w:r w:rsidRPr="007A0C72">
        <w:rPr>
          <w:rFonts w:ascii="Verdana" w:hAnsi="Verdana"/>
        </w:rPr>
        <w:t xml:space="preserve"> “Status</w:t>
      </w:r>
      <w:r w:rsidR="003542C1">
        <w:rPr>
          <w:rFonts w:ascii="Verdana" w:hAnsi="Verdana"/>
        </w:rPr>
        <w:t>”</w:t>
      </w:r>
      <w:r w:rsidR="007A0C72" w:rsidRPr="007A0C72">
        <w:rPr>
          <w:rFonts w:ascii="Verdana" w:hAnsi="Verdana"/>
        </w:rPr>
        <w:t xml:space="preserve"> tab.</w:t>
      </w:r>
    </w:p>
    <w:p w:rsidR="007A0C72" w:rsidRDefault="007A0C72" w:rsidP="007A0C72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You will not be able to submit your survey if any questions are unanswered or any edit checks remain </w:t>
      </w:r>
      <w:proofErr w:type="spellStart"/>
      <w:r>
        <w:rPr>
          <w:rFonts w:ascii="Verdana" w:hAnsi="Verdana"/>
        </w:rPr>
        <w:t>unclarified</w:t>
      </w:r>
      <w:proofErr w:type="spellEnd"/>
      <w:r>
        <w:rPr>
          <w:rFonts w:ascii="Verdana" w:hAnsi="Verdana"/>
        </w:rPr>
        <w:t xml:space="preserve">. </w:t>
      </w:r>
    </w:p>
    <w:p w:rsidR="001D4107" w:rsidRPr="007A0C72" w:rsidRDefault="001D4107" w:rsidP="007A0C72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Federal Notes vs. Local Notes – Any responses in the Federal note field will be viewable by Census staff when data is submitted to IMLS/Census next summer. Use the local note field as a “note to self” option (e.g. “Door count determined using typical week count based on week of April 21</w:t>
      </w:r>
      <w:r w:rsidRPr="001D4107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>”).</w:t>
      </w:r>
    </w:p>
    <w:p w:rsidR="00FD3C52" w:rsidRPr="005D481C" w:rsidRDefault="00FD3C52">
      <w:pPr>
        <w:rPr>
          <w:rFonts w:ascii="Verdana" w:hAnsi="Verdana"/>
        </w:rPr>
      </w:pPr>
    </w:p>
    <w:p w:rsidR="007A0C72" w:rsidRDefault="009B49BA">
      <w:pPr>
        <w:rPr>
          <w:rFonts w:ascii="Verdana" w:hAnsi="Verdana"/>
          <w:b/>
        </w:rPr>
      </w:pPr>
      <w:r w:rsidRPr="007A0C72">
        <w:rPr>
          <w:rFonts w:ascii="Verdana" w:hAnsi="Verdana"/>
          <w:b/>
        </w:rPr>
        <w:t xml:space="preserve">Part 1 – </w:t>
      </w:r>
    </w:p>
    <w:p w:rsidR="007A0C72" w:rsidRPr="007A0C72" w:rsidRDefault="001D4107" w:rsidP="007A0C72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Square footage - </w:t>
      </w:r>
      <w:r w:rsidR="007A0C72" w:rsidRPr="007A0C72">
        <w:rPr>
          <w:rFonts w:ascii="Verdana" w:hAnsi="Verdana"/>
        </w:rPr>
        <w:t xml:space="preserve">please email </w:t>
      </w:r>
      <w:hyperlink r:id="rId9" w:history="1">
        <w:r w:rsidR="007A0C72" w:rsidRPr="00AB515A">
          <w:rPr>
            <w:rStyle w:val="Hyperlink"/>
            <w:rFonts w:ascii="Verdana" w:hAnsi="Verdana"/>
          </w:rPr>
          <w:t>LDO@library.in.gov</w:t>
        </w:r>
      </w:hyperlink>
      <w:r w:rsidR="007A0C72">
        <w:rPr>
          <w:rFonts w:ascii="Verdana" w:hAnsi="Verdana"/>
        </w:rPr>
        <w:t xml:space="preserve"> </w:t>
      </w:r>
      <w:r>
        <w:rPr>
          <w:rFonts w:ascii="Verdana" w:hAnsi="Verdana"/>
        </w:rPr>
        <w:t>with any changes to Central/branch square footage in past year.</w:t>
      </w:r>
    </w:p>
    <w:p w:rsidR="00181BAD" w:rsidRDefault="009B49BA" w:rsidP="00181BAD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336C0D">
        <w:rPr>
          <w:rFonts w:ascii="Verdana" w:hAnsi="Verdana"/>
        </w:rPr>
        <w:t>Branches</w:t>
      </w:r>
      <w:r w:rsidR="00181BAD">
        <w:rPr>
          <w:rFonts w:ascii="Verdana" w:hAnsi="Verdana"/>
        </w:rPr>
        <w:t xml:space="preserve">- </w:t>
      </w:r>
      <w:r w:rsidR="00FD3C52" w:rsidRPr="00181BAD">
        <w:rPr>
          <w:rFonts w:ascii="Verdana" w:hAnsi="Verdana"/>
        </w:rPr>
        <w:t xml:space="preserve">Much of last year’s info will pre-fill. </w:t>
      </w:r>
    </w:p>
    <w:p w:rsidR="009B49BA" w:rsidRPr="00181BAD" w:rsidRDefault="009B49BA" w:rsidP="00181BAD">
      <w:pPr>
        <w:pStyle w:val="ListParagraph"/>
        <w:numPr>
          <w:ilvl w:val="1"/>
          <w:numId w:val="9"/>
        </w:numPr>
        <w:rPr>
          <w:rFonts w:ascii="Verdana" w:hAnsi="Verdana"/>
        </w:rPr>
      </w:pPr>
      <w:r w:rsidRPr="00181BAD">
        <w:rPr>
          <w:rFonts w:ascii="Verdana" w:hAnsi="Verdana"/>
        </w:rPr>
        <w:t xml:space="preserve">If any branches have </w:t>
      </w:r>
      <w:r w:rsidR="00336C0D" w:rsidRPr="00181BAD">
        <w:rPr>
          <w:rFonts w:ascii="Verdana" w:hAnsi="Verdana"/>
        </w:rPr>
        <w:t>moved, opened,</w:t>
      </w:r>
      <w:r w:rsidRPr="00181BAD">
        <w:rPr>
          <w:rFonts w:ascii="Verdana" w:hAnsi="Verdana"/>
        </w:rPr>
        <w:t xml:space="preserve"> or closed </w:t>
      </w:r>
      <w:r w:rsidR="001D4107" w:rsidRPr="00181BAD">
        <w:rPr>
          <w:rFonts w:ascii="Verdana" w:hAnsi="Verdana"/>
        </w:rPr>
        <w:t>in the</w:t>
      </w:r>
      <w:r w:rsidRPr="00181BAD">
        <w:rPr>
          <w:rFonts w:ascii="Verdana" w:hAnsi="Verdana"/>
        </w:rPr>
        <w:t xml:space="preserve"> past year</w:t>
      </w:r>
      <w:r w:rsidR="00336C0D" w:rsidRPr="00181BAD">
        <w:rPr>
          <w:rFonts w:ascii="Verdana" w:hAnsi="Verdana"/>
        </w:rPr>
        <w:t>, or have changed in square footage</w:t>
      </w:r>
      <w:r w:rsidRPr="00181BAD">
        <w:rPr>
          <w:rFonts w:ascii="Verdana" w:hAnsi="Verdana"/>
        </w:rPr>
        <w:t>, please be sure to notify us.</w:t>
      </w:r>
    </w:p>
    <w:p w:rsidR="009B49BA" w:rsidRDefault="009B49BA">
      <w:pPr>
        <w:rPr>
          <w:rFonts w:ascii="Verdana" w:hAnsi="Verdana"/>
        </w:rPr>
      </w:pPr>
    </w:p>
    <w:p w:rsidR="00F2429B" w:rsidRPr="00336C0D" w:rsidRDefault="00F2429B">
      <w:pPr>
        <w:rPr>
          <w:rFonts w:ascii="Verdana" w:hAnsi="Verdana"/>
          <w:b/>
        </w:rPr>
      </w:pPr>
      <w:r w:rsidRPr="00336C0D">
        <w:rPr>
          <w:rFonts w:ascii="Verdana" w:hAnsi="Verdana"/>
          <w:b/>
        </w:rPr>
        <w:t xml:space="preserve">Part 3 </w:t>
      </w:r>
      <w:r w:rsidR="00FD3C52" w:rsidRPr="00336C0D">
        <w:rPr>
          <w:rFonts w:ascii="Verdana" w:hAnsi="Verdana"/>
          <w:b/>
        </w:rPr>
        <w:t xml:space="preserve">– </w:t>
      </w:r>
      <w:r w:rsidRPr="00336C0D">
        <w:rPr>
          <w:rFonts w:ascii="Verdana" w:hAnsi="Verdana"/>
          <w:b/>
        </w:rPr>
        <w:t>Libraries &amp; Political Subdivisions</w:t>
      </w:r>
    </w:p>
    <w:p w:rsidR="00F2429B" w:rsidRPr="005D481C" w:rsidRDefault="00F2429B" w:rsidP="00F2429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5D481C">
        <w:rPr>
          <w:rFonts w:ascii="Verdana" w:hAnsi="Verdana"/>
        </w:rPr>
        <w:t>Assessed Valuation – if 2014 information is</w:t>
      </w:r>
      <w:r w:rsidR="00181BAD">
        <w:rPr>
          <w:rFonts w:ascii="Verdana" w:hAnsi="Verdana"/>
        </w:rPr>
        <w:t xml:space="preserve"> already</w:t>
      </w:r>
      <w:r w:rsidRPr="005D481C">
        <w:rPr>
          <w:rFonts w:ascii="Verdana" w:hAnsi="Verdana"/>
        </w:rPr>
        <w:t xml:space="preserve"> available</w:t>
      </w:r>
      <w:r w:rsidR="00181BAD">
        <w:rPr>
          <w:rFonts w:ascii="Verdana" w:hAnsi="Verdana"/>
        </w:rPr>
        <w:t xml:space="preserve"> to you</w:t>
      </w:r>
      <w:r w:rsidRPr="005D481C">
        <w:rPr>
          <w:rFonts w:ascii="Verdana" w:hAnsi="Verdana"/>
        </w:rPr>
        <w:t>, specify 2014 as the source year for data [03-004]</w:t>
      </w:r>
    </w:p>
    <w:p w:rsidR="00F2429B" w:rsidRPr="005D481C" w:rsidRDefault="00F2429B">
      <w:pPr>
        <w:rPr>
          <w:rFonts w:ascii="Verdana" w:hAnsi="Verdana"/>
        </w:rPr>
      </w:pPr>
    </w:p>
    <w:p w:rsidR="00F2429B" w:rsidRPr="00336C0D" w:rsidRDefault="00F2429B">
      <w:pPr>
        <w:rPr>
          <w:rFonts w:ascii="Verdana" w:hAnsi="Verdana"/>
          <w:b/>
        </w:rPr>
      </w:pPr>
      <w:r w:rsidRPr="00336C0D">
        <w:rPr>
          <w:rFonts w:ascii="Verdana" w:hAnsi="Verdana"/>
          <w:b/>
        </w:rPr>
        <w:t>Part 5 – Expenditure Data</w:t>
      </w:r>
    </w:p>
    <w:p w:rsidR="0084462B" w:rsidRPr="005D481C" w:rsidRDefault="00F2429B" w:rsidP="00F2429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5D481C">
        <w:rPr>
          <w:rFonts w:ascii="Verdana" w:hAnsi="Verdana"/>
        </w:rPr>
        <w:t>Collection Development as % of Operating Expenditures</w:t>
      </w:r>
    </w:p>
    <w:p w:rsidR="00F2429B" w:rsidRPr="005D481C" w:rsidRDefault="00F2429B" w:rsidP="00F2429B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5D481C">
        <w:rPr>
          <w:rFonts w:ascii="Verdana" w:hAnsi="Verdana"/>
        </w:rPr>
        <w:t xml:space="preserve">7.5% will be calculated using </w:t>
      </w:r>
      <w:r w:rsidRPr="00FD3C52">
        <w:rPr>
          <w:rFonts w:ascii="Verdana" w:hAnsi="Verdana"/>
          <w:b/>
        </w:rPr>
        <w:t>operating fund collection expenditures</w:t>
      </w:r>
      <w:r w:rsidRPr="005D481C">
        <w:rPr>
          <w:rFonts w:ascii="Verdana" w:hAnsi="Verdana"/>
        </w:rPr>
        <w:t xml:space="preserve"> divided by the </w:t>
      </w:r>
      <w:r w:rsidRPr="00FD3C52">
        <w:rPr>
          <w:rFonts w:ascii="Verdana" w:hAnsi="Verdana"/>
          <w:b/>
        </w:rPr>
        <w:t>total operating fund expenditures</w:t>
      </w:r>
      <w:r w:rsidRPr="005D481C">
        <w:rPr>
          <w:rFonts w:ascii="Verdana" w:hAnsi="Verdana"/>
        </w:rPr>
        <w:t>.</w:t>
      </w:r>
    </w:p>
    <w:p w:rsidR="00F2429B" w:rsidRPr="005D481C" w:rsidRDefault="00F2429B" w:rsidP="00F2429B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5D481C">
        <w:rPr>
          <w:rFonts w:ascii="Verdana" w:hAnsi="Verdana"/>
        </w:rPr>
        <w:t xml:space="preserve">For enhanced or exceptional ratings (15% or 20%), expenditures from </w:t>
      </w:r>
      <w:r w:rsidRPr="00FD3C52">
        <w:rPr>
          <w:rFonts w:ascii="Verdana" w:hAnsi="Verdana"/>
          <w:b/>
        </w:rPr>
        <w:t>any</w:t>
      </w:r>
      <w:r w:rsidRPr="005D481C">
        <w:rPr>
          <w:rFonts w:ascii="Verdana" w:hAnsi="Verdana"/>
        </w:rPr>
        <w:t xml:space="preserve"> fund</w:t>
      </w:r>
      <w:r w:rsidR="00E246C8">
        <w:rPr>
          <w:rFonts w:ascii="Verdana" w:hAnsi="Verdana"/>
        </w:rPr>
        <w:t xml:space="preserve"> (e.g. computers purchased w/ LIRF)</w:t>
      </w:r>
      <w:r w:rsidRPr="005D481C">
        <w:rPr>
          <w:rFonts w:ascii="Verdana" w:hAnsi="Verdana"/>
        </w:rPr>
        <w:t xml:space="preserve"> may be included.</w:t>
      </w:r>
    </w:p>
    <w:p w:rsidR="00F2429B" w:rsidRPr="00735807" w:rsidRDefault="00E246C8" w:rsidP="00F2429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735807">
        <w:rPr>
          <w:rFonts w:ascii="Verdana" w:hAnsi="Verdana"/>
        </w:rPr>
        <w:t>Debt service- report from any fund</w:t>
      </w:r>
    </w:p>
    <w:p w:rsidR="00F2429B" w:rsidRPr="005D481C" w:rsidRDefault="00F2429B">
      <w:pPr>
        <w:rPr>
          <w:rFonts w:ascii="Verdana" w:hAnsi="Verdana"/>
        </w:rPr>
      </w:pPr>
    </w:p>
    <w:p w:rsidR="00336C0D" w:rsidRPr="00FB78AA" w:rsidRDefault="00336C0D">
      <w:pPr>
        <w:rPr>
          <w:rFonts w:ascii="Verdana" w:hAnsi="Verdana"/>
          <w:b/>
        </w:rPr>
      </w:pPr>
      <w:r w:rsidRPr="00FB78AA">
        <w:rPr>
          <w:rFonts w:ascii="Verdana" w:hAnsi="Verdana"/>
          <w:b/>
        </w:rPr>
        <w:t>Part 7 – Employment Data</w:t>
      </w:r>
    </w:p>
    <w:p w:rsidR="00336C0D" w:rsidRDefault="00336C0D" w:rsidP="00336C0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Total </w:t>
      </w:r>
      <w:r w:rsidRPr="00336C0D">
        <w:rPr>
          <w:rFonts w:ascii="Verdana" w:hAnsi="Verdana"/>
        </w:rPr>
        <w:t>Librarians with ALA-MLS</w:t>
      </w:r>
      <w:r>
        <w:rPr>
          <w:rFonts w:ascii="Verdana" w:hAnsi="Verdana"/>
        </w:rPr>
        <w:t xml:space="preserve"> – </w:t>
      </w:r>
      <w:r w:rsidRPr="00336C0D">
        <w:rPr>
          <w:rFonts w:ascii="Verdana" w:hAnsi="Verdana"/>
        </w:rPr>
        <w:t>Number of librarians</w:t>
      </w:r>
      <w:r>
        <w:rPr>
          <w:rFonts w:ascii="Verdana" w:hAnsi="Verdana"/>
        </w:rPr>
        <w:t xml:space="preserve"> (or positions, if vacant)</w:t>
      </w:r>
      <w:r w:rsidRPr="00336C0D">
        <w:rPr>
          <w:rFonts w:ascii="Verdana" w:hAnsi="Verdana"/>
        </w:rPr>
        <w:t>, with title or function as librarian</w:t>
      </w:r>
      <w:r>
        <w:rPr>
          <w:rFonts w:ascii="Verdana" w:hAnsi="Verdana"/>
        </w:rPr>
        <w:t xml:space="preserve"> requiring a Masters degree.</w:t>
      </w:r>
    </w:p>
    <w:p w:rsidR="00336C0D" w:rsidRDefault="00E246C8" w:rsidP="00336C0D">
      <w:pPr>
        <w:pStyle w:val="ListParagraph"/>
        <w:numPr>
          <w:ilvl w:val="1"/>
          <w:numId w:val="10"/>
        </w:numPr>
        <w:rPr>
          <w:rFonts w:ascii="Verdana" w:hAnsi="Verdana"/>
        </w:rPr>
      </w:pPr>
      <w:r>
        <w:rPr>
          <w:rFonts w:ascii="Verdana" w:hAnsi="Verdana"/>
        </w:rPr>
        <w:t>Upon further review, t</w:t>
      </w:r>
      <w:r w:rsidR="00336C0D">
        <w:rPr>
          <w:rFonts w:ascii="Verdana" w:hAnsi="Verdana"/>
        </w:rPr>
        <w:t xml:space="preserve">his is position-dependent. If </w:t>
      </w:r>
      <w:r>
        <w:rPr>
          <w:rFonts w:ascii="Verdana" w:hAnsi="Verdana"/>
        </w:rPr>
        <w:t xml:space="preserve">an </w:t>
      </w:r>
      <w:r w:rsidR="00336C0D">
        <w:rPr>
          <w:rFonts w:ascii="Verdana" w:hAnsi="Verdana"/>
        </w:rPr>
        <w:t>MLS</w:t>
      </w:r>
      <w:r>
        <w:rPr>
          <w:rFonts w:ascii="Verdana" w:hAnsi="Verdana"/>
        </w:rPr>
        <w:t>-credentialed perso</w:t>
      </w:r>
      <w:r w:rsidR="00336C0D">
        <w:rPr>
          <w:rFonts w:ascii="Verdana" w:hAnsi="Verdana"/>
        </w:rPr>
        <w:t xml:space="preserve">n is working as page, janitor, </w:t>
      </w:r>
      <w:r>
        <w:rPr>
          <w:rFonts w:ascii="Verdana" w:hAnsi="Verdana"/>
        </w:rPr>
        <w:t>other non-librarian position</w:t>
      </w:r>
      <w:r w:rsidR="00336C0D">
        <w:rPr>
          <w:rFonts w:ascii="Verdana" w:hAnsi="Verdana"/>
        </w:rPr>
        <w:t xml:space="preserve">, they would </w:t>
      </w:r>
      <w:r w:rsidR="00336C0D" w:rsidRPr="00E246C8">
        <w:rPr>
          <w:rFonts w:ascii="Verdana" w:hAnsi="Verdana"/>
          <w:b/>
        </w:rPr>
        <w:t>not</w:t>
      </w:r>
      <w:r w:rsidR="00336C0D">
        <w:rPr>
          <w:rFonts w:ascii="Verdana" w:hAnsi="Verdana"/>
        </w:rPr>
        <w:t xml:space="preserve"> be counted here.</w:t>
      </w:r>
      <w:r w:rsidR="00F90B05">
        <w:rPr>
          <w:rFonts w:ascii="Verdana" w:hAnsi="Verdana"/>
        </w:rPr>
        <w:t xml:space="preserve"> </w:t>
      </w:r>
    </w:p>
    <w:p w:rsidR="00336C0D" w:rsidRPr="00336C0D" w:rsidRDefault="00336C0D" w:rsidP="00336C0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Temporary help</w:t>
      </w:r>
      <w:r w:rsidR="00F90B05">
        <w:rPr>
          <w:rFonts w:ascii="Verdana" w:hAnsi="Verdana"/>
        </w:rPr>
        <w:t xml:space="preserve"> – Would not include if not position not active for majority of the year.</w:t>
      </w:r>
    </w:p>
    <w:p w:rsidR="00336C0D" w:rsidRDefault="00336C0D">
      <w:pPr>
        <w:rPr>
          <w:rFonts w:ascii="Verdana" w:hAnsi="Verdana"/>
        </w:rPr>
      </w:pPr>
    </w:p>
    <w:p w:rsidR="00FD3C52" w:rsidRPr="00FB78AA" w:rsidRDefault="00FD3C52">
      <w:pPr>
        <w:rPr>
          <w:rFonts w:ascii="Verdana" w:hAnsi="Verdana"/>
          <w:b/>
        </w:rPr>
      </w:pPr>
      <w:r w:rsidRPr="00FB78AA">
        <w:rPr>
          <w:rFonts w:ascii="Verdana" w:hAnsi="Verdana"/>
          <w:b/>
        </w:rPr>
        <w:t>Part 8 - Library Service and Technology</w:t>
      </w:r>
    </w:p>
    <w:p w:rsidR="00FD3C52" w:rsidRDefault="00FD3C52" w:rsidP="00FD3C5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D3C52">
        <w:rPr>
          <w:rFonts w:ascii="Verdana" w:hAnsi="Verdana"/>
        </w:rPr>
        <w:t>Programming (including “Passive programming”) –</w:t>
      </w:r>
      <w:r w:rsidR="000C31E4">
        <w:rPr>
          <w:rFonts w:ascii="Verdana" w:hAnsi="Verdana"/>
        </w:rPr>
        <w:t xml:space="preserve"> </w:t>
      </w:r>
      <w:hyperlink r:id="rId10" w:history="1">
        <w:r w:rsidR="000C31E4" w:rsidRPr="000C31E4">
          <w:rPr>
            <w:rStyle w:val="Hyperlink"/>
            <w:rFonts w:ascii="Verdana" w:hAnsi="Verdana"/>
          </w:rPr>
          <w:t xml:space="preserve">This </w:t>
        </w:r>
        <w:r w:rsidR="00FB78AA" w:rsidRPr="000C31E4">
          <w:rPr>
            <w:rStyle w:val="Hyperlink"/>
            <w:rFonts w:ascii="Verdana" w:hAnsi="Verdana"/>
          </w:rPr>
          <w:t>handout</w:t>
        </w:r>
      </w:hyperlink>
      <w:r w:rsidR="000C31E4" w:rsidRPr="000C31E4">
        <w:rPr>
          <w:rFonts w:ascii="Verdana" w:hAnsi="Verdana"/>
        </w:rPr>
        <w:t xml:space="preserve"> answers some of the most frequently asked questions</w:t>
      </w:r>
      <w:r w:rsidR="00FB78AA" w:rsidRPr="000C31E4">
        <w:rPr>
          <w:rFonts w:ascii="Verdana" w:hAnsi="Verdana"/>
        </w:rPr>
        <w:t>, but</w:t>
      </w:r>
      <w:r w:rsidR="00FB78AA">
        <w:rPr>
          <w:rFonts w:ascii="Verdana" w:hAnsi="Verdana"/>
        </w:rPr>
        <w:t xml:space="preserve"> </w:t>
      </w:r>
      <w:r w:rsidRPr="00FD3C52">
        <w:rPr>
          <w:rFonts w:ascii="Verdana" w:hAnsi="Verdana"/>
        </w:rPr>
        <w:t xml:space="preserve">if any questions remain about what counts as a program, please </w:t>
      </w:r>
      <w:hyperlink r:id="rId11" w:history="1">
        <w:r w:rsidRPr="00150C29">
          <w:rPr>
            <w:rStyle w:val="Hyperlink"/>
            <w:rFonts w:ascii="Verdana" w:hAnsi="Verdana"/>
          </w:rPr>
          <w:t>contact us</w:t>
        </w:r>
      </w:hyperlink>
      <w:r w:rsidRPr="00FD3C52">
        <w:rPr>
          <w:rFonts w:ascii="Verdana" w:hAnsi="Verdana"/>
        </w:rPr>
        <w:t>.</w:t>
      </w:r>
    </w:p>
    <w:p w:rsidR="00E246C8" w:rsidRDefault="00E246C8" w:rsidP="00FD3C5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Interlibrary Loans – Report actual ILLs only</w:t>
      </w:r>
      <w:r w:rsidR="00A0615E">
        <w:rPr>
          <w:rFonts w:ascii="Verdana" w:hAnsi="Verdana"/>
        </w:rPr>
        <w:t xml:space="preserve"> (using OCLC, Indiana Share)</w:t>
      </w:r>
      <w:r>
        <w:rPr>
          <w:rFonts w:ascii="Verdana" w:hAnsi="Verdana"/>
        </w:rPr>
        <w:t>, NOT Evergreen transits. (These do not need to be reported anywhere because Evergreen admin provides these directly to us.)</w:t>
      </w:r>
      <w:r w:rsidR="00A0615E">
        <w:rPr>
          <w:rFonts w:ascii="Verdana" w:hAnsi="Verdana"/>
        </w:rPr>
        <w:t xml:space="preserve"> Do not report intersystem loans.</w:t>
      </w:r>
    </w:p>
    <w:p w:rsidR="00FB78AA" w:rsidRDefault="00FB78AA" w:rsidP="00FD3C5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Annual visits – This is your door </w:t>
      </w:r>
      <w:r w:rsidR="00181BAD">
        <w:rPr>
          <w:rFonts w:ascii="Verdana" w:hAnsi="Verdana"/>
        </w:rPr>
        <w:t xml:space="preserve">count. Can use typical week to </w:t>
      </w:r>
      <w:r>
        <w:rPr>
          <w:rFonts w:ascii="Verdana" w:hAnsi="Verdana"/>
        </w:rPr>
        <w:t>estimate.</w:t>
      </w:r>
    </w:p>
    <w:p w:rsidR="00F90B05" w:rsidRDefault="00F90B05" w:rsidP="00FD3C5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# of Wireless internet uses per year – this</w:t>
      </w:r>
      <w:r w:rsidR="00181BAD">
        <w:rPr>
          <w:rFonts w:ascii="Verdana" w:hAnsi="Verdana"/>
        </w:rPr>
        <w:t xml:space="preserve"> figure</w:t>
      </w:r>
      <w:r>
        <w:rPr>
          <w:rFonts w:ascii="Verdana" w:hAnsi="Verdana"/>
        </w:rPr>
        <w:t xml:space="preserve"> should be available from your IT staff or internet provider.</w:t>
      </w:r>
    </w:p>
    <w:p w:rsidR="00B1584A" w:rsidRDefault="00B1584A" w:rsidP="00FD3C5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What if we are in the process of changing bookkeeping </w:t>
      </w:r>
      <w:r w:rsidR="00735807">
        <w:rPr>
          <w:rFonts w:ascii="Verdana" w:hAnsi="Verdana"/>
        </w:rPr>
        <w:t>systems or ILS? You may report both and explain</w:t>
      </w:r>
      <w:r w:rsidR="00181BAD">
        <w:rPr>
          <w:rFonts w:ascii="Verdana" w:hAnsi="Verdana"/>
        </w:rPr>
        <w:t xml:space="preserve"> in space provided</w:t>
      </w:r>
      <w:r w:rsidR="00735807">
        <w:rPr>
          <w:rFonts w:ascii="Verdana" w:hAnsi="Verdana"/>
        </w:rPr>
        <w:t xml:space="preserve"> (</w:t>
      </w:r>
      <w:r w:rsidR="00181BAD">
        <w:rPr>
          <w:rFonts w:ascii="Verdana" w:hAnsi="Verdana"/>
        </w:rPr>
        <w:t xml:space="preserve">or </w:t>
      </w:r>
      <w:r w:rsidR="00735807">
        <w:rPr>
          <w:rFonts w:ascii="Verdana" w:hAnsi="Verdana"/>
        </w:rPr>
        <w:t>use local or federal note if needed)</w:t>
      </w:r>
    </w:p>
    <w:p w:rsidR="00735807" w:rsidRDefault="00735807" w:rsidP="00FD3C5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YA Circulation – if you library </w:t>
      </w:r>
      <w:r w:rsidR="00181BAD">
        <w:rPr>
          <w:rFonts w:ascii="Verdana" w:hAnsi="Verdana"/>
        </w:rPr>
        <w:t xml:space="preserve">has historically rolled YA circs in with Children’s circulation, please continue to do so. </w:t>
      </w:r>
    </w:p>
    <w:p w:rsidR="00FB78AA" w:rsidRPr="00FB78AA" w:rsidRDefault="00FB78AA" w:rsidP="00FB78AA">
      <w:pPr>
        <w:rPr>
          <w:rFonts w:ascii="Verdana" w:hAnsi="Verdana"/>
        </w:rPr>
      </w:pPr>
    </w:p>
    <w:p w:rsidR="00FD3C52" w:rsidRPr="00FB78AA" w:rsidRDefault="00FB78AA">
      <w:pPr>
        <w:rPr>
          <w:rFonts w:ascii="Verdana" w:hAnsi="Verdana"/>
          <w:b/>
        </w:rPr>
      </w:pPr>
      <w:r w:rsidRPr="00FB78AA">
        <w:rPr>
          <w:rFonts w:ascii="Verdana" w:hAnsi="Verdana"/>
          <w:b/>
        </w:rPr>
        <w:t>Part 9 – Circulation and Holdings</w:t>
      </w:r>
    </w:p>
    <w:p w:rsidR="00FB78AA" w:rsidRDefault="00FB78AA" w:rsidP="00FB78AA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FB78AA">
        <w:rPr>
          <w:rFonts w:ascii="Verdana" w:hAnsi="Verdana"/>
        </w:rPr>
        <w:t xml:space="preserve">See </w:t>
      </w:r>
      <w:hyperlink r:id="rId12" w:history="1">
        <w:r w:rsidRPr="00FB78AA">
          <w:rPr>
            <w:rStyle w:val="Hyperlink"/>
            <w:rFonts w:ascii="Verdana" w:hAnsi="Verdana"/>
          </w:rPr>
          <w:t>this handout</w:t>
        </w:r>
      </w:hyperlink>
      <w:r w:rsidRPr="00FB78AA">
        <w:rPr>
          <w:rFonts w:ascii="Verdana" w:hAnsi="Verdana"/>
        </w:rPr>
        <w:t xml:space="preserve"> for guidance where to report items</w:t>
      </w:r>
      <w:r w:rsidR="00E246C8">
        <w:rPr>
          <w:rFonts w:ascii="Verdana" w:hAnsi="Verdana"/>
        </w:rPr>
        <w:t xml:space="preserve"> (e.g. “Where does Overdrive go?”)</w:t>
      </w:r>
    </w:p>
    <w:p w:rsidR="00E246C8" w:rsidRPr="00FB78AA" w:rsidRDefault="00E246C8" w:rsidP="00E246C8">
      <w:pPr>
        <w:pStyle w:val="ListParagraph"/>
        <w:numPr>
          <w:ilvl w:val="0"/>
          <w:numId w:val="1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Zinio</w:t>
      </w:r>
      <w:proofErr w:type="spellEnd"/>
      <w:r>
        <w:rPr>
          <w:rFonts w:ascii="Verdana" w:hAnsi="Verdana"/>
        </w:rPr>
        <w:t xml:space="preserve">- How to count is still “up in the air” on a national level. Do you select the individual titles? Go ahead and count as collection/circs. Do </w:t>
      </w:r>
      <w:r>
        <w:rPr>
          <w:rFonts w:ascii="Verdana" w:hAnsi="Verdana"/>
        </w:rPr>
        <w:lastRenderedPageBreak/>
        <w:t>you simply subscribe to all titles or a pre-determined collection? Count as a database.</w:t>
      </w:r>
    </w:p>
    <w:p w:rsidR="00FB78AA" w:rsidRDefault="00FB78AA" w:rsidP="00FB78AA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Don’t include </w:t>
      </w:r>
      <w:proofErr w:type="spellStart"/>
      <w:r>
        <w:rPr>
          <w:rFonts w:ascii="Verdana" w:hAnsi="Verdana"/>
        </w:rPr>
        <w:t>eReaders</w:t>
      </w:r>
      <w:proofErr w:type="spellEnd"/>
      <w:r>
        <w:rPr>
          <w:rFonts w:ascii="Verdana" w:hAnsi="Verdana"/>
        </w:rPr>
        <w:t xml:space="preserve"> for staff use/instruction that are not available for public use/circulation as part of the collection</w:t>
      </w:r>
    </w:p>
    <w:p w:rsidR="00FB78AA" w:rsidRDefault="00FB78AA">
      <w:pPr>
        <w:rPr>
          <w:rFonts w:ascii="Verdana" w:hAnsi="Verdana"/>
        </w:rPr>
      </w:pPr>
    </w:p>
    <w:p w:rsidR="00F2429B" w:rsidRPr="00FB78AA" w:rsidRDefault="00F2429B">
      <w:pPr>
        <w:rPr>
          <w:rFonts w:ascii="Verdana" w:hAnsi="Verdana"/>
          <w:b/>
        </w:rPr>
      </w:pPr>
      <w:r w:rsidRPr="00FB78AA">
        <w:rPr>
          <w:rFonts w:ascii="Verdana" w:hAnsi="Verdana"/>
          <w:b/>
        </w:rPr>
        <w:t>Part 11- Salaries</w:t>
      </w:r>
    </w:p>
    <w:p w:rsidR="00F2429B" w:rsidRDefault="00F2429B" w:rsidP="00F2429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D481C">
        <w:rPr>
          <w:rFonts w:ascii="Verdana" w:hAnsi="Verdana"/>
        </w:rPr>
        <w:t>Paid days off per year –</w:t>
      </w:r>
      <w:r w:rsidR="003542C1">
        <w:rPr>
          <w:rFonts w:ascii="Verdana" w:hAnsi="Verdana"/>
        </w:rPr>
        <w:t xml:space="preserve"> may vary based on years of service. B</w:t>
      </w:r>
      <w:r w:rsidRPr="005D481C">
        <w:rPr>
          <w:rFonts w:ascii="Verdana" w:hAnsi="Verdana"/>
        </w:rPr>
        <w:t>ase</w:t>
      </w:r>
      <w:r w:rsidR="00AD31F4">
        <w:rPr>
          <w:rFonts w:ascii="Verdana" w:hAnsi="Verdana"/>
        </w:rPr>
        <w:t xml:space="preserve"> your responses</w:t>
      </w:r>
      <w:r w:rsidRPr="005D481C">
        <w:rPr>
          <w:rFonts w:ascii="Verdana" w:hAnsi="Verdana"/>
        </w:rPr>
        <w:t xml:space="preserve"> on what is available to a new hire</w:t>
      </w:r>
      <w:r w:rsidR="00AD31F4">
        <w:rPr>
          <w:rFonts w:ascii="Verdana" w:hAnsi="Verdana"/>
        </w:rPr>
        <w:t>, not someone who has been with the library for several years</w:t>
      </w:r>
      <w:r w:rsidR="005756FD">
        <w:rPr>
          <w:rFonts w:ascii="Verdana" w:hAnsi="Verdana"/>
        </w:rPr>
        <w:t>.</w:t>
      </w:r>
    </w:p>
    <w:p w:rsidR="00FD3C52" w:rsidRDefault="00FD3C52" w:rsidP="00FD3C52">
      <w:pPr>
        <w:pStyle w:val="ListParagraph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You may also report </w:t>
      </w:r>
      <w:r w:rsidR="00FB78AA">
        <w:rPr>
          <w:rFonts w:ascii="Verdana" w:hAnsi="Verdana"/>
        </w:rPr>
        <w:t>time off as hours instead of days (please specify in response when doing so)</w:t>
      </w:r>
    </w:p>
    <w:p w:rsidR="007D5946" w:rsidRDefault="007D5946" w:rsidP="007D594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Part time employee- </w:t>
      </w:r>
      <w:r w:rsidR="00A92837">
        <w:rPr>
          <w:rFonts w:ascii="Verdana" w:hAnsi="Verdana"/>
        </w:rPr>
        <w:t xml:space="preserve">This is locally defined and not based on the federal definition </w:t>
      </w:r>
      <w:r w:rsidR="003542C1">
        <w:rPr>
          <w:rFonts w:ascii="Verdana" w:hAnsi="Verdana"/>
        </w:rPr>
        <w:t>(e.g. at some libraries, 25 hours a week is “full time” and those employees may be eligible for benefits)</w:t>
      </w:r>
    </w:p>
    <w:p w:rsidR="00A0615E" w:rsidRDefault="00A92837" w:rsidP="007D594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Paid days off per year: Other D</w:t>
      </w:r>
      <w:r w:rsidR="00A0615E">
        <w:rPr>
          <w:rFonts w:ascii="Verdana" w:hAnsi="Verdana"/>
        </w:rPr>
        <w:t xml:space="preserve">ays- Please indicate if your </w:t>
      </w:r>
      <w:r>
        <w:rPr>
          <w:rFonts w:ascii="Verdana" w:hAnsi="Verdana"/>
        </w:rPr>
        <w:t>library gives employees time off for any days not listed (e.g. Birthdays, Jury Duty, etc)</w:t>
      </w:r>
    </w:p>
    <w:p w:rsidR="004E2CBD" w:rsidRDefault="004E2CBD" w:rsidP="005D481C">
      <w:pPr>
        <w:rPr>
          <w:rFonts w:ascii="Verdana" w:hAnsi="Verdana"/>
        </w:rPr>
      </w:pPr>
    </w:p>
    <w:p w:rsidR="005D481C" w:rsidRPr="004E2CBD" w:rsidRDefault="004E2CBD" w:rsidP="005D481C">
      <w:pPr>
        <w:rPr>
          <w:rFonts w:ascii="Verdana" w:hAnsi="Verdana"/>
          <w:b/>
        </w:rPr>
      </w:pPr>
      <w:r w:rsidRPr="004E2CBD">
        <w:rPr>
          <w:rFonts w:ascii="Verdana" w:hAnsi="Verdana"/>
          <w:b/>
        </w:rPr>
        <w:t>Part 13 – Compliance with Standards</w:t>
      </w:r>
    </w:p>
    <w:p w:rsidR="004E2CBD" w:rsidRDefault="004E2CBD" w:rsidP="004E2CB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4E2CBD">
        <w:rPr>
          <w:rFonts w:ascii="Verdana" w:hAnsi="Verdana"/>
        </w:rPr>
        <w:t xml:space="preserve">What if one branch/location is not ADA compliant? Would report as </w:t>
      </w:r>
      <w:r w:rsidRPr="004E2CBD">
        <w:rPr>
          <w:rFonts w:ascii="Verdana" w:hAnsi="Verdana"/>
          <w:b/>
        </w:rPr>
        <w:t>not</w:t>
      </w:r>
      <w:r w:rsidRPr="004E2CBD">
        <w:rPr>
          <w:rFonts w:ascii="Verdana" w:hAnsi="Verdana"/>
        </w:rPr>
        <w:t xml:space="preserve"> compliant</w:t>
      </w:r>
      <w:r w:rsidR="00735807">
        <w:rPr>
          <w:rFonts w:ascii="Verdana" w:hAnsi="Verdana"/>
        </w:rPr>
        <w:t>,</w:t>
      </w:r>
      <w:r w:rsidRPr="004E2CBD">
        <w:rPr>
          <w:rFonts w:ascii="Verdana" w:hAnsi="Verdana"/>
        </w:rPr>
        <w:t xml:space="preserve"> but explain</w:t>
      </w:r>
      <w:r w:rsidR="00735807">
        <w:rPr>
          <w:rFonts w:ascii="Verdana" w:hAnsi="Verdana"/>
        </w:rPr>
        <w:t xml:space="preserve"> in further detail</w:t>
      </w:r>
      <w:r w:rsidRPr="004E2CBD">
        <w:rPr>
          <w:rFonts w:ascii="Verdana" w:hAnsi="Verdana"/>
        </w:rPr>
        <w:t xml:space="preserve"> in part 14 (especially if corrective actions are being made)</w:t>
      </w:r>
    </w:p>
    <w:p w:rsidR="004E2CBD" w:rsidRDefault="004E2CBD" w:rsidP="004E2CBD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Talking Books and Braille services – </w:t>
      </w:r>
      <w:r w:rsidR="00E94631">
        <w:rPr>
          <w:rFonts w:ascii="Verdana" w:hAnsi="Verdana"/>
        </w:rPr>
        <w:t>Do not need to have ALL formats listed available at library</w:t>
      </w:r>
      <w:r w:rsidR="00735807">
        <w:rPr>
          <w:rFonts w:ascii="Verdana" w:hAnsi="Verdana"/>
        </w:rPr>
        <w:t xml:space="preserve"> (e.g. </w:t>
      </w:r>
      <w:r w:rsidR="00735807" w:rsidRPr="00735807">
        <w:rPr>
          <w:rFonts w:ascii="Verdana" w:hAnsi="Verdana"/>
        </w:rPr>
        <w:t xml:space="preserve">large print books, Braille books, audio books </w:t>
      </w:r>
      <w:r w:rsidR="00735807" w:rsidRPr="00735807">
        <w:rPr>
          <w:rFonts w:ascii="Verdana" w:hAnsi="Verdana"/>
          <w:b/>
        </w:rPr>
        <w:t>and</w:t>
      </w:r>
      <w:r w:rsidR="00735807" w:rsidRPr="00735807">
        <w:rPr>
          <w:rFonts w:ascii="Verdana" w:hAnsi="Verdana"/>
        </w:rPr>
        <w:t xml:space="preserve"> enhanced media</w:t>
      </w:r>
      <w:r w:rsidR="00735807">
        <w:rPr>
          <w:rFonts w:ascii="Verdana" w:hAnsi="Verdana"/>
        </w:rPr>
        <w:t>)</w:t>
      </w:r>
      <w:r w:rsidR="00E94631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OK if </w:t>
      </w:r>
      <w:r w:rsidR="00E94631">
        <w:rPr>
          <w:rFonts w:ascii="Verdana" w:hAnsi="Verdana"/>
        </w:rPr>
        <w:t>library defers to</w:t>
      </w:r>
      <w:r>
        <w:rPr>
          <w:rFonts w:ascii="Verdana" w:hAnsi="Verdana"/>
        </w:rPr>
        <w:t xml:space="preserve"> </w:t>
      </w:r>
      <w:hyperlink r:id="rId13" w:history="1">
        <w:r w:rsidRPr="00E94631">
          <w:rPr>
            <w:rStyle w:val="Hyperlink"/>
            <w:rFonts w:ascii="Verdana" w:hAnsi="Verdana"/>
          </w:rPr>
          <w:t xml:space="preserve">ISL </w:t>
        </w:r>
        <w:r w:rsidR="00E94631" w:rsidRPr="00E94631">
          <w:rPr>
            <w:rStyle w:val="Hyperlink"/>
            <w:rFonts w:ascii="Verdana" w:hAnsi="Verdana"/>
          </w:rPr>
          <w:t>TBBL</w:t>
        </w:r>
      </w:hyperlink>
      <w:r w:rsidR="00E94631">
        <w:rPr>
          <w:rFonts w:ascii="Verdana" w:hAnsi="Verdana"/>
        </w:rPr>
        <w:t xml:space="preserve"> </w:t>
      </w:r>
      <w:r w:rsidR="0052653B">
        <w:rPr>
          <w:rFonts w:ascii="Verdana" w:hAnsi="Verdana"/>
        </w:rPr>
        <w:t xml:space="preserve">for services, </w:t>
      </w:r>
      <w:r>
        <w:rPr>
          <w:rFonts w:ascii="Verdana" w:hAnsi="Verdana"/>
        </w:rPr>
        <w:t>as long as staff is familiar with services</w:t>
      </w:r>
      <w:r w:rsidR="00E94631">
        <w:rPr>
          <w:rFonts w:ascii="Verdana" w:hAnsi="Verdana"/>
        </w:rPr>
        <w:t xml:space="preserve"> available</w:t>
      </w:r>
      <w:r>
        <w:rPr>
          <w:rFonts w:ascii="Verdana" w:hAnsi="Verdana"/>
        </w:rPr>
        <w:t xml:space="preserve"> and knows</w:t>
      </w:r>
      <w:r w:rsidR="0052653B">
        <w:rPr>
          <w:rFonts w:ascii="Verdana" w:hAnsi="Verdana"/>
        </w:rPr>
        <w:t xml:space="preserve"> how and when</w:t>
      </w:r>
      <w:r>
        <w:rPr>
          <w:rFonts w:ascii="Verdana" w:hAnsi="Verdana"/>
        </w:rPr>
        <w:t xml:space="preserve"> to extend these services</w:t>
      </w:r>
      <w:r w:rsidR="0052653B">
        <w:rPr>
          <w:rFonts w:ascii="Verdana" w:hAnsi="Verdana"/>
        </w:rPr>
        <w:t xml:space="preserve"> to patrons</w:t>
      </w:r>
      <w:r w:rsidR="00E94631">
        <w:rPr>
          <w:rFonts w:ascii="Verdana" w:hAnsi="Verdana"/>
        </w:rPr>
        <w:t xml:space="preserve"> when needed</w:t>
      </w:r>
      <w:r>
        <w:rPr>
          <w:rFonts w:ascii="Verdana" w:hAnsi="Verdana"/>
        </w:rPr>
        <w:t>.</w:t>
      </w:r>
    </w:p>
    <w:p w:rsidR="0052653B" w:rsidRDefault="0052653B" w:rsidP="0052653B">
      <w:pPr>
        <w:rPr>
          <w:rFonts w:ascii="Verdana" w:hAnsi="Verdana"/>
        </w:rPr>
      </w:pPr>
    </w:p>
    <w:p w:rsidR="0052653B" w:rsidRPr="0052653B" w:rsidRDefault="0052653B" w:rsidP="0052653B">
      <w:pPr>
        <w:rPr>
          <w:rFonts w:ascii="Verdana" w:hAnsi="Verdana"/>
          <w:b/>
        </w:rPr>
      </w:pPr>
      <w:r w:rsidRPr="0052653B">
        <w:rPr>
          <w:rFonts w:ascii="Verdana" w:hAnsi="Verdana"/>
          <w:b/>
        </w:rPr>
        <w:t>Part 15 – Supplemental questions</w:t>
      </w:r>
    </w:p>
    <w:p w:rsidR="0052653B" w:rsidRDefault="0052653B" w:rsidP="0052653B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52653B">
        <w:rPr>
          <w:rFonts w:ascii="Verdana" w:hAnsi="Verdana"/>
        </w:rPr>
        <w:t>Outreach events –</w:t>
      </w:r>
      <w:r>
        <w:rPr>
          <w:rFonts w:ascii="Verdana" w:hAnsi="Verdana"/>
        </w:rPr>
        <w:t xml:space="preserve"> Outreach programs that don’t exactly meet the definition of a library program may count here.</w:t>
      </w:r>
      <w:r w:rsidRPr="0052653B">
        <w:rPr>
          <w:rFonts w:ascii="Verdana" w:hAnsi="Verdana"/>
        </w:rPr>
        <w:t xml:space="preserve"> </w:t>
      </w:r>
    </w:p>
    <w:p w:rsidR="0052653B" w:rsidRPr="0052653B" w:rsidRDefault="0052653B" w:rsidP="0052653B">
      <w:pPr>
        <w:pStyle w:val="ListParagraph"/>
        <w:numPr>
          <w:ilvl w:val="1"/>
          <w:numId w:val="13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e.g</w:t>
      </w:r>
      <w:proofErr w:type="gramEnd"/>
      <w:r>
        <w:rPr>
          <w:rFonts w:ascii="Verdana" w:hAnsi="Verdana"/>
        </w:rPr>
        <w:t>. A float in a parade, or l</w:t>
      </w:r>
      <w:r w:rsidRPr="0052653B">
        <w:rPr>
          <w:rFonts w:ascii="Verdana" w:hAnsi="Verdana"/>
        </w:rPr>
        <w:t>ecturing on behalf of your library at an out of state event may count.</w:t>
      </w:r>
    </w:p>
    <w:p w:rsidR="0052653B" w:rsidRPr="0052653B" w:rsidRDefault="0052653B" w:rsidP="0052653B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52653B">
        <w:rPr>
          <w:rFonts w:ascii="Verdana" w:hAnsi="Verdana"/>
        </w:rPr>
        <w:t>Personal interactions – number of interactions or impressions with individuals (e.g. 500 people stopped at our booth</w:t>
      </w:r>
      <w:r>
        <w:rPr>
          <w:rFonts w:ascii="Verdana" w:hAnsi="Verdana"/>
        </w:rPr>
        <w:t>, 250 people viewed parade</w:t>
      </w:r>
      <w:r w:rsidRPr="0052653B">
        <w:rPr>
          <w:rFonts w:ascii="Verdana" w:hAnsi="Verdana"/>
        </w:rPr>
        <w:t>)</w:t>
      </w:r>
    </w:p>
    <w:sectPr w:rsidR="0052653B" w:rsidRPr="0052653B" w:rsidSect="00E905AC">
      <w:pgSz w:w="12240" w:h="15840" w:code="1"/>
      <w:pgMar w:top="1440" w:right="1440" w:bottom="1440" w:left="1440" w:header="720" w:footer="720" w:gutter="0"/>
      <w:paperSrc w:first="67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BEE"/>
    <w:multiLevelType w:val="hybridMultilevel"/>
    <w:tmpl w:val="FFC6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D2F"/>
    <w:multiLevelType w:val="hybridMultilevel"/>
    <w:tmpl w:val="550A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5C96"/>
    <w:multiLevelType w:val="hybridMultilevel"/>
    <w:tmpl w:val="5E3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4ED"/>
    <w:multiLevelType w:val="hybridMultilevel"/>
    <w:tmpl w:val="83CC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85C98"/>
    <w:multiLevelType w:val="hybridMultilevel"/>
    <w:tmpl w:val="DC8A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1313"/>
    <w:multiLevelType w:val="hybridMultilevel"/>
    <w:tmpl w:val="C828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05B2"/>
    <w:multiLevelType w:val="hybridMultilevel"/>
    <w:tmpl w:val="3CF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431"/>
    <w:multiLevelType w:val="hybridMultilevel"/>
    <w:tmpl w:val="9A1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13C"/>
    <w:multiLevelType w:val="hybridMultilevel"/>
    <w:tmpl w:val="ACE6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42069"/>
    <w:multiLevelType w:val="multilevel"/>
    <w:tmpl w:val="0EF2C67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182161F"/>
    <w:multiLevelType w:val="hybridMultilevel"/>
    <w:tmpl w:val="C43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44400"/>
    <w:multiLevelType w:val="hybridMultilevel"/>
    <w:tmpl w:val="067A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429B"/>
    <w:rsid w:val="000C31E4"/>
    <w:rsid w:val="00150C29"/>
    <w:rsid w:val="00181BAD"/>
    <w:rsid w:val="001D4107"/>
    <w:rsid w:val="002159E6"/>
    <w:rsid w:val="002A742B"/>
    <w:rsid w:val="002B08B6"/>
    <w:rsid w:val="00336C0D"/>
    <w:rsid w:val="003542C1"/>
    <w:rsid w:val="0037117E"/>
    <w:rsid w:val="003A200F"/>
    <w:rsid w:val="004E2B84"/>
    <w:rsid w:val="004E2CBD"/>
    <w:rsid w:val="00500C17"/>
    <w:rsid w:val="0052653B"/>
    <w:rsid w:val="005756FD"/>
    <w:rsid w:val="005C70D9"/>
    <w:rsid w:val="005D481C"/>
    <w:rsid w:val="00735807"/>
    <w:rsid w:val="00775BB8"/>
    <w:rsid w:val="00795E7F"/>
    <w:rsid w:val="007A0C72"/>
    <w:rsid w:val="007D5946"/>
    <w:rsid w:val="007F7123"/>
    <w:rsid w:val="0084462B"/>
    <w:rsid w:val="008C5576"/>
    <w:rsid w:val="009B49BA"/>
    <w:rsid w:val="00A0615E"/>
    <w:rsid w:val="00A92837"/>
    <w:rsid w:val="00AD31F4"/>
    <w:rsid w:val="00B1584A"/>
    <w:rsid w:val="00B94758"/>
    <w:rsid w:val="00E246C8"/>
    <w:rsid w:val="00E905AC"/>
    <w:rsid w:val="00E94631"/>
    <w:rsid w:val="00EA7661"/>
    <w:rsid w:val="00F2429B"/>
    <w:rsid w:val="00F673DD"/>
    <w:rsid w:val="00F90B05"/>
    <w:rsid w:val="00FB78AA"/>
    <w:rsid w:val="00FD3C52"/>
    <w:rsid w:val="00FD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5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4758"/>
    <w:pPr>
      <w:keepNext/>
      <w:numPr>
        <w:numId w:val="2"/>
      </w:numPr>
      <w:outlineLvl w:val="0"/>
    </w:pPr>
    <w:rPr>
      <w:rFonts w:ascii="Helvetica" w:eastAsia="Times New Roman" w:hAnsi="Helvetica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947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47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4758"/>
    <w:pPr>
      <w:keepNext/>
      <w:jc w:val="center"/>
      <w:outlineLvl w:val="3"/>
    </w:pPr>
    <w:rPr>
      <w:rFonts w:ascii="Helvetica" w:eastAsia="Times New Roman" w:hAnsi="Helvetica"/>
      <w:b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B9475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B94758"/>
    <w:pPr>
      <w:keepNext/>
      <w:ind w:right="-720"/>
      <w:jc w:val="center"/>
      <w:outlineLvl w:val="5"/>
    </w:pPr>
    <w:rPr>
      <w:rFonts w:ascii="Palatino" w:eastAsia="Times New Roman" w:hAnsi="Palatino"/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B94758"/>
    <w:pPr>
      <w:keepNext/>
      <w:ind w:right="-720"/>
      <w:outlineLvl w:val="6"/>
    </w:pPr>
    <w:rPr>
      <w:rFonts w:ascii="Palatino" w:eastAsia="Times New Roman" w:hAnsi="Palatino"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94758"/>
    <w:pPr>
      <w:keepNext/>
      <w:spacing w:line="280" w:lineRule="atLeast"/>
      <w:ind w:right="-720"/>
      <w:outlineLvl w:val="7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758"/>
    <w:rPr>
      <w:rFonts w:ascii="Helvetica" w:eastAsia="Times New Roman" w:hAnsi="Helvetica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947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947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94758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9475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94758"/>
    <w:rPr>
      <w:rFonts w:ascii="Palatino" w:eastAsia="Times New Roman" w:hAnsi="Palatino"/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4758"/>
    <w:rPr>
      <w:rFonts w:ascii="Palatino" w:eastAsia="Times New Roman" w:hAnsi="Palatino"/>
      <w:u w:val="single"/>
    </w:rPr>
  </w:style>
  <w:style w:type="character" w:customStyle="1" w:styleId="Heading8Char">
    <w:name w:val="Heading 8 Char"/>
    <w:basedOn w:val="DefaultParagraphFont"/>
    <w:link w:val="Heading8"/>
    <w:rsid w:val="00B94758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Normal"/>
    <w:link w:val="TitleChar"/>
    <w:qFormat/>
    <w:rsid w:val="00B94758"/>
    <w:pPr>
      <w:jc w:val="center"/>
      <w:outlineLvl w:val="0"/>
    </w:pPr>
    <w:rPr>
      <w:rFonts w:ascii="Helvetica" w:eastAsia="Times New Roman" w:hAnsi="Helvetic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94758"/>
    <w:rPr>
      <w:rFonts w:ascii="Helvetica" w:eastAsia="Times New Roman" w:hAnsi="Helvetica"/>
      <w:b/>
      <w:sz w:val="32"/>
    </w:rPr>
  </w:style>
  <w:style w:type="paragraph" w:styleId="Subtitle">
    <w:name w:val="Subtitle"/>
    <w:basedOn w:val="Normal"/>
    <w:link w:val="SubtitleChar"/>
    <w:qFormat/>
    <w:rsid w:val="00B94758"/>
    <w:pPr>
      <w:jc w:val="center"/>
      <w:outlineLvl w:val="0"/>
    </w:pPr>
    <w:rPr>
      <w:rFonts w:ascii="Helvetica" w:eastAsia="Times New Roman" w:hAnsi="Helvetica"/>
      <w:b/>
      <w:sz w:val="3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B94758"/>
    <w:rPr>
      <w:rFonts w:ascii="Helvetica" w:eastAsia="Times New Roman" w:hAnsi="Helvetica"/>
      <w:b/>
      <w:sz w:val="32"/>
      <w:u w:val="single"/>
    </w:rPr>
  </w:style>
  <w:style w:type="character" w:styleId="Strong">
    <w:name w:val="Strong"/>
    <w:basedOn w:val="DefaultParagraphFont"/>
    <w:qFormat/>
    <w:rsid w:val="00B94758"/>
    <w:rPr>
      <w:b/>
      <w:bCs/>
    </w:rPr>
  </w:style>
  <w:style w:type="character" w:styleId="Emphasis">
    <w:name w:val="Emphasis"/>
    <w:basedOn w:val="DefaultParagraphFont"/>
    <w:uiPriority w:val="20"/>
    <w:qFormat/>
    <w:rsid w:val="00B94758"/>
    <w:rPr>
      <w:i/>
      <w:iCs/>
    </w:rPr>
  </w:style>
  <w:style w:type="paragraph" w:styleId="NoSpacing">
    <w:name w:val="No Spacing"/>
    <w:uiPriority w:val="1"/>
    <w:qFormat/>
    <w:rsid w:val="00B9475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4758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75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character" w:styleId="Hyperlink">
    <w:name w:val="Hyperlink"/>
    <w:basedOn w:val="DefaultParagraphFont"/>
    <w:uiPriority w:val="99"/>
    <w:unhideWhenUsed/>
    <w:rsid w:val="005D48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0C72"/>
  </w:style>
  <w:style w:type="character" w:styleId="FollowedHyperlink">
    <w:name w:val="FollowedHyperlink"/>
    <w:basedOn w:val="DefaultParagraphFont"/>
    <w:uiPriority w:val="99"/>
    <w:semiHidden/>
    <w:unhideWhenUsed/>
    <w:rsid w:val="00150C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.btol.com/Instructions/IE10.pdf" TargetMode="External"/><Relationship Id="rId13" Type="http://schemas.openxmlformats.org/officeDocument/2006/relationships/hyperlink" Target="http://www.in.gov/library/tbbl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stat@btol.com?subject=Forgot%20my%20password&amp;Body=I%20have%20forgotten%20my%20password.%20I%20am%20located%20at%20library/state:" TargetMode="External"/><Relationship Id="rId12" Type="http://schemas.openxmlformats.org/officeDocument/2006/relationships/hyperlink" Target="http://www.in.gov/library/files/2013_Annual_Report_WhatGoesWhe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o@library.in.gov?subject=Annual%20Report%20login%20info" TargetMode="External"/><Relationship Id="rId11" Type="http://schemas.openxmlformats.org/officeDocument/2006/relationships/hyperlink" Target="mailto:ldo@library.in.gov?subject=Question%20about%20Programs" TargetMode="External"/><Relationship Id="rId5" Type="http://schemas.openxmlformats.org/officeDocument/2006/relationships/hyperlink" Target="http://collect.bto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.gov/library/files/2013_Annual_Report_What_is_a_progr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O@library.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Clifton</dc:creator>
  <cp:lastModifiedBy>limeadows</cp:lastModifiedBy>
  <cp:revision>2</cp:revision>
  <dcterms:created xsi:type="dcterms:W3CDTF">2013-12-09T14:27:00Z</dcterms:created>
  <dcterms:modified xsi:type="dcterms:W3CDTF">2013-12-09T14:27:00Z</dcterms:modified>
</cp:coreProperties>
</file>