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0C68" w14:textId="58005579" w:rsidR="006451C7" w:rsidRPr="00AD78A0" w:rsidRDefault="00AD78A0" w:rsidP="00AD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78A0">
        <w:rPr>
          <w:rFonts w:ascii="Times New Roman" w:hAnsi="Times New Roman" w:cs="Times New Roman"/>
          <w:b/>
          <w:bCs/>
          <w:sz w:val="26"/>
          <w:szCs w:val="26"/>
        </w:rPr>
        <w:t>OUCC Comments on</w:t>
      </w:r>
    </w:p>
    <w:p w14:paraId="02ED9385" w14:textId="3AACE5A0" w:rsidR="00057B08" w:rsidRPr="00AD78A0" w:rsidRDefault="00BE32FD" w:rsidP="00AD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78A0">
        <w:rPr>
          <w:rFonts w:ascii="Times New Roman" w:hAnsi="Times New Roman" w:cs="Times New Roman"/>
          <w:b/>
          <w:bCs/>
          <w:sz w:val="26"/>
          <w:szCs w:val="26"/>
        </w:rPr>
        <w:t>NIPSCO</w:t>
      </w:r>
      <w:r w:rsidR="00AD78A0" w:rsidRPr="00AD78A0">
        <w:rPr>
          <w:rFonts w:ascii="Times New Roman" w:hAnsi="Times New Roman" w:cs="Times New Roman"/>
          <w:b/>
          <w:bCs/>
          <w:sz w:val="26"/>
          <w:szCs w:val="26"/>
        </w:rPr>
        <w:t>’s</w:t>
      </w:r>
      <w:r w:rsidRPr="00AD78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4C9C" w:rsidRPr="00AD78A0">
        <w:rPr>
          <w:rFonts w:ascii="Times New Roman" w:hAnsi="Times New Roman" w:cs="Times New Roman"/>
          <w:b/>
          <w:bCs/>
          <w:sz w:val="26"/>
          <w:szCs w:val="26"/>
        </w:rPr>
        <w:t xml:space="preserve">2021 </w:t>
      </w:r>
      <w:r w:rsidRPr="00AD78A0">
        <w:rPr>
          <w:rFonts w:ascii="Times New Roman" w:hAnsi="Times New Roman" w:cs="Times New Roman"/>
          <w:b/>
          <w:bCs/>
          <w:sz w:val="26"/>
          <w:szCs w:val="26"/>
        </w:rPr>
        <w:t>IRP Comments</w:t>
      </w:r>
    </w:p>
    <w:p w14:paraId="15F1F335" w14:textId="5A9BB2FB" w:rsidR="00AD78A0" w:rsidRPr="00AD78A0" w:rsidRDefault="00AD78A0" w:rsidP="00AD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78A0">
        <w:rPr>
          <w:rFonts w:ascii="Times New Roman" w:hAnsi="Times New Roman" w:cs="Times New Roman"/>
          <w:b/>
          <w:bCs/>
          <w:sz w:val="26"/>
          <w:szCs w:val="26"/>
        </w:rPr>
        <w:t>February 14, 202</w:t>
      </w:r>
      <w:r w:rsidR="0061255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24023D89" w14:textId="77777777" w:rsidR="00AD78A0" w:rsidRPr="00AD78A0" w:rsidRDefault="00AD78A0" w:rsidP="00AD78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C6D08" w14:textId="600854DF" w:rsidR="00AD78A0" w:rsidRPr="004B0FBC" w:rsidRDefault="00AD78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FBC">
        <w:rPr>
          <w:rFonts w:ascii="Times New Roman" w:hAnsi="Times New Roman" w:cs="Times New Roman"/>
          <w:b/>
          <w:bCs/>
          <w:sz w:val="24"/>
          <w:szCs w:val="24"/>
          <w:u w:val="single"/>
        </w:rPr>
        <w:t>Environmental</w:t>
      </w:r>
    </w:p>
    <w:p w14:paraId="2DD0CC36" w14:textId="6828514D" w:rsidR="00BE32FD" w:rsidRPr="00AD78A0" w:rsidRDefault="00057B08">
      <w:pPr>
        <w:rPr>
          <w:rFonts w:ascii="Times New Roman" w:hAnsi="Times New Roman" w:cs="Times New Roman"/>
          <w:sz w:val="24"/>
          <w:szCs w:val="24"/>
        </w:rPr>
      </w:pPr>
      <w:r w:rsidRPr="00AD78A0">
        <w:rPr>
          <w:rFonts w:ascii="Times New Roman" w:hAnsi="Times New Roman" w:cs="Times New Roman"/>
          <w:sz w:val="24"/>
          <w:szCs w:val="24"/>
        </w:rPr>
        <w:t>NIPSCO</w:t>
      </w:r>
      <w:r w:rsidR="004B0FBC">
        <w:rPr>
          <w:rFonts w:ascii="Times New Roman" w:hAnsi="Times New Roman" w:cs="Times New Roman"/>
          <w:sz w:val="24"/>
          <w:szCs w:val="24"/>
        </w:rPr>
        <w:t>’s</w:t>
      </w:r>
      <w:r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4B0FBC">
        <w:rPr>
          <w:rFonts w:ascii="Times New Roman" w:hAnsi="Times New Roman" w:cs="Times New Roman"/>
          <w:sz w:val="24"/>
          <w:szCs w:val="24"/>
        </w:rPr>
        <w:t>operational</w:t>
      </w:r>
      <w:r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4B0FBC">
        <w:rPr>
          <w:rFonts w:ascii="Times New Roman" w:hAnsi="Times New Roman" w:cs="Times New Roman"/>
          <w:sz w:val="24"/>
          <w:szCs w:val="24"/>
        </w:rPr>
        <w:t xml:space="preserve">coal-fired </w:t>
      </w:r>
      <w:r w:rsidRPr="00AD78A0">
        <w:rPr>
          <w:rFonts w:ascii="Times New Roman" w:hAnsi="Times New Roman" w:cs="Times New Roman"/>
          <w:sz w:val="24"/>
          <w:szCs w:val="24"/>
        </w:rPr>
        <w:t>generating facilities</w:t>
      </w:r>
      <w:r w:rsidR="002970F5">
        <w:rPr>
          <w:rFonts w:ascii="Times New Roman" w:hAnsi="Times New Roman" w:cs="Times New Roman"/>
          <w:sz w:val="24"/>
          <w:szCs w:val="24"/>
        </w:rPr>
        <w:t xml:space="preserve"> </w:t>
      </w:r>
      <w:r w:rsidR="0008098E" w:rsidRPr="00AD78A0">
        <w:rPr>
          <w:rFonts w:ascii="Times New Roman" w:hAnsi="Times New Roman" w:cs="Times New Roman"/>
          <w:sz w:val="24"/>
          <w:szCs w:val="24"/>
        </w:rPr>
        <w:t>have either installed equipment or will retire to comply with the Coal Combustion Residuals (CCR) Rule and the Steam Electric Generation Effluent Limitation Guidelines (ELGs)</w:t>
      </w:r>
      <w:r w:rsidR="002970F5">
        <w:rPr>
          <w:rFonts w:ascii="Times New Roman" w:hAnsi="Times New Roman" w:cs="Times New Roman"/>
          <w:sz w:val="24"/>
          <w:szCs w:val="24"/>
        </w:rPr>
        <w:t>.  Therefore,</w:t>
      </w:r>
      <w:r w:rsidR="00CE21BE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541B55" w:rsidRPr="00AD78A0">
        <w:rPr>
          <w:rFonts w:ascii="Times New Roman" w:hAnsi="Times New Roman" w:cs="Times New Roman"/>
          <w:sz w:val="24"/>
          <w:szCs w:val="24"/>
        </w:rPr>
        <w:t xml:space="preserve">NIPSCO has already planned for </w:t>
      </w:r>
      <w:r w:rsidR="002250DD" w:rsidRPr="00AD78A0">
        <w:rPr>
          <w:rFonts w:ascii="Times New Roman" w:hAnsi="Times New Roman" w:cs="Times New Roman"/>
          <w:sz w:val="24"/>
          <w:szCs w:val="24"/>
        </w:rPr>
        <w:t>the major impending environmental compliance deadlines impacting its existing generation fleet</w:t>
      </w:r>
      <w:r w:rsidR="0008098E" w:rsidRPr="00AD78A0">
        <w:rPr>
          <w:rFonts w:ascii="Times New Roman" w:hAnsi="Times New Roman" w:cs="Times New Roman"/>
          <w:sz w:val="24"/>
          <w:szCs w:val="24"/>
        </w:rPr>
        <w:t xml:space="preserve">. </w:t>
      </w:r>
      <w:r w:rsidR="00C02FC3" w:rsidRPr="00AD78A0">
        <w:rPr>
          <w:rFonts w:ascii="Times New Roman" w:hAnsi="Times New Roman" w:cs="Times New Roman"/>
          <w:sz w:val="24"/>
          <w:szCs w:val="24"/>
        </w:rPr>
        <w:t>Michigan City Unit 12 has already installed</w:t>
      </w:r>
      <w:r w:rsidR="00470EB5" w:rsidRPr="00AD78A0">
        <w:rPr>
          <w:rFonts w:ascii="Times New Roman" w:hAnsi="Times New Roman" w:cs="Times New Roman"/>
          <w:sz w:val="24"/>
          <w:szCs w:val="24"/>
        </w:rPr>
        <w:t xml:space="preserve"> a</w:t>
      </w:r>
      <w:r w:rsidR="00C02FC3" w:rsidRPr="00AD78A0">
        <w:rPr>
          <w:rFonts w:ascii="Times New Roman" w:hAnsi="Times New Roman" w:cs="Times New Roman"/>
          <w:sz w:val="24"/>
          <w:szCs w:val="24"/>
        </w:rPr>
        <w:t xml:space="preserve"> closed-loop bottom ash handling </w:t>
      </w:r>
      <w:r w:rsidR="00470EB5" w:rsidRPr="00AD78A0">
        <w:rPr>
          <w:rFonts w:ascii="Times New Roman" w:hAnsi="Times New Roman" w:cs="Times New Roman"/>
          <w:sz w:val="24"/>
          <w:szCs w:val="24"/>
        </w:rPr>
        <w:t>system and a dry Flue Gas Desulfurization (FGD) system</w:t>
      </w:r>
      <w:r w:rsidR="00FC1A7F" w:rsidRPr="00AD78A0">
        <w:rPr>
          <w:rFonts w:ascii="Times New Roman" w:hAnsi="Times New Roman" w:cs="Times New Roman"/>
          <w:sz w:val="24"/>
          <w:szCs w:val="24"/>
        </w:rPr>
        <w:t xml:space="preserve"> that does not generate wastewater</w:t>
      </w:r>
      <w:r w:rsidR="00D53545" w:rsidRPr="00AD78A0">
        <w:rPr>
          <w:rFonts w:ascii="Times New Roman" w:hAnsi="Times New Roman" w:cs="Times New Roman"/>
          <w:sz w:val="24"/>
          <w:szCs w:val="24"/>
        </w:rPr>
        <w:t>.</w:t>
      </w:r>
      <w:r w:rsidR="00140446" w:rsidRPr="00AD78A0">
        <w:rPr>
          <w:rFonts w:ascii="Times New Roman" w:hAnsi="Times New Roman" w:cs="Times New Roman"/>
          <w:sz w:val="24"/>
          <w:szCs w:val="24"/>
        </w:rPr>
        <w:t xml:space="preserve"> Schahfer Units 14 and 15 retired in 2021</w:t>
      </w:r>
      <w:r w:rsidR="00D3431F" w:rsidRPr="00AD78A0">
        <w:rPr>
          <w:rFonts w:ascii="Times New Roman" w:hAnsi="Times New Roman" w:cs="Times New Roman"/>
          <w:sz w:val="24"/>
          <w:szCs w:val="24"/>
        </w:rPr>
        <w:t xml:space="preserve">, and Schahfer Units 17 and 18 plan to retire in 2023. </w:t>
      </w:r>
      <w:r w:rsidR="00D53545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393CAB" w:rsidRPr="00AD78A0">
        <w:rPr>
          <w:rFonts w:ascii="Times New Roman" w:hAnsi="Times New Roman" w:cs="Times New Roman"/>
          <w:sz w:val="24"/>
          <w:szCs w:val="24"/>
        </w:rPr>
        <w:t>In August 2020, the E</w:t>
      </w:r>
      <w:r w:rsidR="00824002">
        <w:rPr>
          <w:rFonts w:ascii="Times New Roman" w:hAnsi="Times New Roman" w:cs="Times New Roman"/>
          <w:sz w:val="24"/>
          <w:szCs w:val="24"/>
        </w:rPr>
        <w:t>nvironmental Protection Agency (E</w:t>
      </w:r>
      <w:r w:rsidR="00393CAB" w:rsidRPr="00AD78A0">
        <w:rPr>
          <w:rFonts w:ascii="Times New Roman" w:hAnsi="Times New Roman" w:cs="Times New Roman"/>
          <w:sz w:val="24"/>
          <w:szCs w:val="24"/>
        </w:rPr>
        <w:t>PA</w:t>
      </w:r>
      <w:r w:rsidR="00824002">
        <w:rPr>
          <w:rFonts w:ascii="Times New Roman" w:hAnsi="Times New Roman" w:cs="Times New Roman"/>
          <w:sz w:val="24"/>
          <w:szCs w:val="24"/>
        </w:rPr>
        <w:t>)</w:t>
      </w:r>
      <w:r w:rsidR="00393CAB" w:rsidRPr="00AD78A0">
        <w:rPr>
          <w:rFonts w:ascii="Times New Roman" w:hAnsi="Times New Roman" w:cs="Times New Roman"/>
          <w:sz w:val="24"/>
          <w:szCs w:val="24"/>
        </w:rPr>
        <w:t xml:space="preserve"> issued it</w:t>
      </w:r>
      <w:r w:rsidR="002970F5">
        <w:rPr>
          <w:rFonts w:ascii="Times New Roman" w:hAnsi="Times New Roman" w:cs="Times New Roman"/>
          <w:sz w:val="24"/>
          <w:szCs w:val="24"/>
        </w:rPr>
        <w:t>s</w:t>
      </w:r>
      <w:r w:rsidR="00393CAB" w:rsidRPr="00AD78A0">
        <w:rPr>
          <w:rFonts w:ascii="Times New Roman" w:hAnsi="Times New Roman" w:cs="Times New Roman"/>
          <w:sz w:val="24"/>
          <w:szCs w:val="24"/>
        </w:rPr>
        <w:t xml:space="preserve"> Part A Reconsideration of the CCR Rule in which it required any existing CCR impoundments</w:t>
      </w:r>
      <w:r w:rsidR="00C8218E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4B786A" w:rsidRPr="00AD78A0">
        <w:rPr>
          <w:rFonts w:ascii="Times New Roman" w:hAnsi="Times New Roman" w:cs="Times New Roman"/>
          <w:sz w:val="24"/>
          <w:szCs w:val="24"/>
        </w:rPr>
        <w:t>impacting groundwater</w:t>
      </w:r>
      <w:r w:rsidR="00F177D4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393CAB" w:rsidRPr="00AD78A0">
        <w:rPr>
          <w:rFonts w:ascii="Times New Roman" w:hAnsi="Times New Roman" w:cs="Times New Roman"/>
          <w:sz w:val="24"/>
          <w:szCs w:val="24"/>
        </w:rPr>
        <w:t>or fail</w:t>
      </w:r>
      <w:r w:rsidR="004B786A" w:rsidRPr="00AD78A0">
        <w:rPr>
          <w:rFonts w:ascii="Times New Roman" w:hAnsi="Times New Roman" w:cs="Times New Roman"/>
          <w:sz w:val="24"/>
          <w:szCs w:val="24"/>
        </w:rPr>
        <w:t>ing</w:t>
      </w:r>
      <w:r w:rsidR="00393CAB" w:rsidRPr="00AD78A0">
        <w:rPr>
          <w:rFonts w:ascii="Times New Roman" w:hAnsi="Times New Roman" w:cs="Times New Roman"/>
          <w:sz w:val="24"/>
          <w:szCs w:val="24"/>
        </w:rPr>
        <w:t xml:space="preserve"> to meet the aquifer separation locational standard to cease receipt of CCR material and begin closure by April 11, 2021. </w:t>
      </w:r>
      <w:r w:rsidR="00FF0855" w:rsidRPr="00AD78A0">
        <w:rPr>
          <w:rFonts w:ascii="Times New Roman" w:hAnsi="Times New Roman" w:cs="Times New Roman"/>
          <w:sz w:val="24"/>
          <w:szCs w:val="24"/>
        </w:rPr>
        <w:t xml:space="preserve">However, </w:t>
      </w:r>
      <w:r w:rsidR="00BC5EA3" w:rsidRPr="00AD78A0">
        <w:rPr>
          <w:rFonts w:ascii="Times New Roman" w:hAnsi="Times New Roman" w:cs="Times New Roman"/>
          <w:sz w:val="24"/>
          <w:szCs w:val="24"/>
        </w:rPr>
        <w:t>facilities</w:t>
      </w:r>
      <w:r w:rsidR="004B20C4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6C0E71" w:rsidRPr="00AD78A0">
        <w:rPr>
          <w:rFonts w:ascii="Times New Roman" w:hAnsi="Times New Roman" w:cs="Times New Roman"/>
          <w:sz w:val="24"/>
          <w:szCs w:val="24"/>
        </w:rPr>
        <w:t>that</w:t>
      </w:r>
      <w:r w:rsidR="003F3C90" w:rsidRPr="00AD78A0">
        <w:rPr>
          <w:rFonts w:ascii="Times New Roman" w:hAnsi="Times New Roman" w:cs="Times New Roman"/>
          <w:sz w:val="24"/>
          <w:szCs w:val="24"/>
        </w:rPr>
        <w:t xml:space="preserve"> certify they will</w:t>
      </w:r>
      <w:r w:rsidR="006C0E71" w:rsidRPr="00AD78A0">
        <w:rPr>
          <w:rFonts w:ascii="Times New Roman" w:hAnsi="Times New Roman" w:cs="Times New Roman"/>
          <w:sz w:val="24"/>
          <w:szCs w:val="24"/>
        </w:rPr>
        <w:t xml:space="preserve"> retire </w:t>
      </w:r>
      <w:r w:rsidR="00004D94" w:rsidRPr="00AD78A0">
        <w:rPr>
          <w:rFonts w:ascii="Times New Roman" w:hAnsi="Times New Roman" w:cs="Times New Roman"/>
          <w:sz w:val="24"/>
          <w:szCs w:val="24"/>
        </w:rPr>
        <w:t>and complete ash impoundment</w:t>
      </w:r>
      <w:r w:rsidR="002970F5">
        <w:rPr>
          <w:rFonts w:ascii="Times New Roman" w:hAnsi="Times New Roman" w:cs="Times New Roman"/>
          <w:sz w:val="24"/>
          <w:szCs w:val="24"/>
        </w:rPr>
        <w:t xml:space="preserve"> closures</w:t>
      </w:r>
      <w:r w:rsidR="00004D94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755EE3" w:rsidRPr="00AD78A0">
        <w:rPr>
          <w:rFonts w:ascii="Times New Roman" w:hAnsi="Times New Roman" w:cs="Times New Roman"/>
          <w:sz w:val="24"/>
          <w:szCs w:val="24"/>
        </w:rPr>
        <w:t xml:space="preserve">by </w:t>
      </w:r>
      <w:r w:rsidR="003F3C90" w:rsidRPr="00AD78A0">
        <w:rPr>
          <w:rFonts w:ascii="Times New Roman" w:hAnsi="Times New Roman" w:cs="Times New Roman"/>
          <w:sz w:val="24"/>
          <w:szCs w:val="24"/>
        </w:rPr>
        <w:t xml:space="preserve">certain dates may continue to </w:t>
      </w:r>
      <w:r w:rsidR="00BC5EA3" w:rsidRPr="00AD78A0">
        <w:rPr>
          <w:rFonts w:ascii="Times New Roman" w:hAnsi="Times New Roman" w:cs="Times New Roman"/>
          <w:sz w:val="24"/>
          <w:szCs w:val="24"/>
        </w:rPr>
        <w:t xml:space="preserve">use ash impoundments </w:t>
      </w:r>
      <w:r w:rsidR="000B42F0" w:rsidRPr="00AD78A0">
        <w:rPr>
          <w:rFonts w:ascii="Times New Roman" w:hAnsi="Times New Roman" w:cs="Times New Roman"/>
          <w:sz w:val="24"/>
          <w:szCs w:val="24"/>
        </w:rPr>
        <w:t xml:space="preserve">beyond the April 2021 deadline. In </w:t>
      </w:r>
      <w:proofErr w:type="spellStart"/>
      <w:r w:rsidR="000B42F0" w:rsidRPr="00AD78A0">
        <w:rPr>
          <w:rFonts w:ascii="Times New Roman" w:hAnsi="Times New Roman" w:cs="Times New Roman"/>
          <w:sz w:val="24"/>
          <w:szCs w:val="24"/>
        </w:rPr>
        <w:t>Schahfer’s</w:t>
      </w:r>
      <w:proofErr w:type="spellEnd"/>
      <w:r w:rsidR="000B42F0" w:rsidRPr="00AD78A0">
        <w:rPr>
          <w:rFonts w:ascii="Times New Roman" w:hAnsi="Times New Roman" w:cs="Times New Roman"/>
          <w:sz w:val="24"/>
          <w:szCs w:val="24"/>
        </w:rPr>
        <w:t xml:space="preserve"> case, </w:t>
      </w:r>
      <w:r w:rsidR="00B541AE" w:rsidRPr="00AD78A0">
        <w:rPr>
          <w:rFonts w:ascii="Times New Roman" w:hAnsi="Times New Roman" w:cs="Times New Roman"/>
          <w:sz w:val="24"/>
          <w:szCs w:val="24"/>
        </w:rPr>
        <w:t>Units 17 and 18</w:t>
      </w:r>
      <w:r w:rsidR="000B42F0" w:rsidRPr="00AD78A0">
        <w:rPr>
          <w:rFonts w:ascii="Times New Roman" w:hAnsi="Times New Roman" w:cs="Times New Roman"/>
          <w:sz w:val="24"/>
          <w:szCs w:val="24"/>
        </w:rPr>
        <w:t xml:space="preserve"> will cease operation </w:t>
      </w:r>
      <w:r w:rsidR="00141C10" w:rsidRPr="00AD78A0">
        <w:rPr>
          <w:rFonts w:ascii="Times New Roman" w:hAnsi="Times New Roman" w:cs="Times New Roman"/>
          <w:sz w:val="24"/>
          <w:szCs w:val="24"/>
        </w:rPr>
        <w:t xml:space="preserve">by 2023 and its largest ash impoundment will </w:t>
      </w:r>
      <w:r w:rsidR="00B541AE" w:rsidRPr="00AD78A0">
        <w:rPr>
          <w:rFonts w:ascii="Times New Roman" w:hAnsi="Times New Roman" w:cs="Times New Roman"/>
          <w:sz w:val="24"/>
          <w:szCs w:val="24"/>
        </w:rPr>
        <w:t xml:space="preserve">complete closure by 2028, so </w:t>
      </w:r>
      <w:r w:rsidR="008B3938" w:rsidRPr="00AD78A0">
        <w:rPr>
          <w:rFonts w:ascii="Times New Roman" w:hAnsi="Times New Roman" w:cs="Times New Roman"/>
          <w:sz w:val="24"/>
          <w:szCs w:val="24"/>
        </w:rPr>
        <w:t>it</w:t>
      </w:r>
      <w:r w:rsidR="00FE1FFA" w:rsidRPr="00AD78A0">
        <w:rPr>
          <w:rFonts w:ascii="Times New Roman" w:hAnsi="Times New Roman" w:cs="Times New Roman"/>
          <w:sz w:val="24"/>
          <w:szCs w:val="24"/>
        </w:rPr>
        <w:t xml:space="preserve"> may qualify for an extension under the CCR Part A Reconsideration</w:t>
      </w:r>
      <w:r w:rsidR="0045485F" w:rsidRPr="00AD78A0">
        <w:rPr>
          <w:rFonts w:ascii="Times New Roman" w:hAnsi="Times New Roman" w:cs="Times New Roman"/>
          <w:sz w:val="24"/>
          <w:szCs w:val="24"/>
        </w:rPr>
        <w:t xml:space="preserve"> provisions</w:t>
      </w:r>
      <w:r w:rsidR="00AC6FA7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770878" w:rsidRPr="00AD78A0">
        <w:rPr>
          <w:rFonts w:ascii="Times New Roman" w:hAnsi="Times New Roman" w:cs="Times New Roman"/>
          <w:sz w:val="24"/>
          <w:szCs w:val="24"/>
        </w:rPr>
        <w:t>found at</w:t>
      </w:r>
      <w:r w:rsidR="00AC6FA7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58008A" w:rsidRPr="00AD78A0">
        <w:rPr>
          <w:rFonts w:ascii="Times New Roman" w:hAnsi="Times New Roman" w:cs="Times New Roman"/>
          <w:sz w:val="24"/>
          <w:szCs w:val="24"/>
        </w:rPr>
        <w:t>40 C</w:t>
      </w:r>
      <w:r w:rsidR="00F01A42" w:rsidRPr="00AD78A0">
        <w:rPr>
          <w:rFonts w:ascii="Times New Roman" w:hAnsi="Times New Roman" w:cs="Times New Roman"/>
          <w:sz w:val="24"/>
          <w:szCs w:val="24"/>
        </w:rPr>
        <w:t>FR Part</w:t>
      </w:r>
      <w:r w:rsidR="0058008A" w:rsidRPr="00AD78A0">
        <w:rPr>
          <w:rFonts w:ascii="Times New Roman" w:hAnsi="Times New Roman" w:cs="Times New Roman"/>
          <w:sz w:val="24"/>
          <w:szCs w:val="24"/>
        </w:rPr>
        <w:t xml:space="preserve"> 257.103(f)(2)</w:t>
      </w:r>
      <w:r w:rsidR="0045485F" w:rsidRPr="00AD78A0">
        <w:rPr>
          <w:rFonts w:ascii="Times New Roman" w:hAnsi="Times New Roman" w:cs="Times New Roman"/>
          <w:sz w:val="24"/>
          <w:szCs w:val="24"/>
        </w:rPr>
        <w:t xml:space="preserve">. </w:t>
      </w:r>
      <w:r w:rsidR="00755EE3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7F7C9C" w:rsidRPr="00AD78A0">
        <w:rPr>
          <w:rFonts w:ascii="Times New Roman" w:hAnsi="Times New Roman" w:cs="Times New Roman"/>
          <w:sz w:val="24"/>
          <w:szCs w:val="24"/>
        </w:rPr>
        <w:t>NIPSCO submitted</w:t>
      </w:r>
      <w:r w:rsidR="00ED5181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063620" w:rsidRPr="00AD78A0">
        <w:rPr>
          <w:rFonts w:ascii="Times New Roman" w:hAnsi="Times New Roman" w:cs="Times New Roman"/>
          <w:sz w:val="24"/>
          <w:szCs w:val="24"/>
        </w:rPr>
        <w:t xml:space="preserve">its Section 257.103(f)(2) </w:t>
      </w:r>
      <w:r w:rsidR="00ED5181" w:rsidRPr="00AD78A0">
        <w:rPr>
          <w:rFonts w:ascii="Times New Roman" w:hAnsi="Times New Roman" w:cs="Times New Roman"/>
          <w:sz w:val="24"/>
          <w:szCs w:val="24"/>
        </w:rPr>
        <w:t xml:space="preserve">demonstration for the Schahfer Generating plant </w:t>
      </w:r>
      <w:r w:rsidR="00063620" w:rsidRPr="00AD78A0">
        <w:rPr>
          <w:rFonts w:ascii="Times New Roman" w:hAnsi="Times New Roman" w:cs="Times New Roman"/>
          <w:sz w:val="24"/>
          <w:szCs w:val="24"/>
        </w:rPr>
        <w:t xml:space="preserve">on October 30, 2020, </w:t>
      </w:r>
      <w:r w:rsidR="00F1447D" w:rsidRPr="00AD78A0">
        <w:rPr>
          <w:rFonts w:ascii="Times New Roman" w:hAnsi="Times New Roman" w:cs="Times New Roman"/>
          <w:sz w:val="24"/>
          <w:szCs w:val="24"/>
        </w:rPr>
        <w:t xml:space="preserve">and the EPA deemed its application </w:t>
      </w:r>
      <w:r w:rsidR="00A06B70" w:rsidRPr="00AD78A0">
        <w:rPr>
          <w:rFonts w:ascii="Times New Roman" w:hAnsi="Times New Roman" w:cs="Times New Roman"/>
          <w:sz w:val="24"/>
          <w:szCs w:val="24"/>
        </w:rPr>
        <w:t>to be complete on January 11, 2022.</w:t>
      </w:r>
      <w:r w:rsidR="00A06B70" w:rsidRPr="00AD78A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D42C9" w:rsidRPr="00AD78A0">
        <w:rPr>
          <w:rFonts w:ascii="Times New Roman" w:hAnsi="Times New Roman" w:cs="Times New Roman"/>
          <w:sz w:val="24"/>
          <w:szCs w:val="24"/>
        </w:rPr>
        <w:t xml:space="preserve"> The EPA has yet </w:t>
      </w:r>
      <w:r w:rsidR="00F2077B" w:rsidRPr="00AD78A0">
        <w:rPr>
          <w:rFonts w:ascii="Times New Roman" w:hAnsi="Times New Roman" w:cs="Times New Roman"/>
          <w:sz w:val="24"/>
          <w:szCs w:val="24"/>
        </w:rPr>
        <w:t xml:space="preserve">to determine if Schahfer’s submitted demonstration is </w:t>
      </w:r>
      <w:r w:rsidR="00D57D6B" w:rsidRPr="00AD78A0">
        <w:rPr>
          <w:rFonts w:ascii="Times New Roman" w:hAnsi="Times New Roman" w:cs="Times New Roman"/>
          <w:sz w:val="24"/>
          <w:szCs w:val="24"/>
        </w:rPr>
        <w:t xml:space="preserve">eligible but will be issuing a proposed determination as soon as </w:t>
      </w:r>
      <w:r w:rsidR="007A6BA6" w:rsidRPr="00AD78A0">
        <w:rPr>
          <w:rFonts w:ascii="Times New Roman" w:hAnsi="Times New Roman" w:cs="Times New Roman"/>
          <w:sz w:val="24"/>
          <w:szCs w:val="24"/>
        </w:rPr>
        <w:t>possible.</w:t>
      </w:r>
    </w:p>
    <w:p w14:paraId="634310EB" w14:textId="40AA892E" w:rsidR="00F539CC" w:rsidRPr="00AD78A0" w:rsidRDefault="00CE4EA1">
      <w:pPr>
        <w:rPr>
          <w:rFonts w:ascii="Times New Roman" w:hAnsi="Times New Roman" w:cs="Times New Roman"/>
          <w:sz w:val="24"/>
          <w:szCs w:val="24"/>
        </w:rPr>
      </w:pPr>
      <w:r w:rsidRPr="00AD78A0">
        <w:rPr>
          <w:rFonts w:ascii="Times New Roman" w:hAnsi="Times New Roman" w:cs="Times New Roman"/>
          <w:sz w:val="24"/>
          <w:szCs w:val="24"/>
        </w:rPr>
        <w:t xml:space="preserve">NIPSCO’s future environmental compliance assumptions </w:t>
      </w:r>
      <w:r w:rsidR="002B6F8A" w:rsidRPr="00AD78A0">
        <w:rPr>
          <w:rFonts w:ascii="Times New Roman" w:hAnsi="Times New Roman" w:cs="Times New Roman"/>
          <w:sz w:val="24"/>
          <w:szCs w:val="24"/>
        </w:rPr>
        <w:t xml:space="preserve">and sustainability measures center heavily on regulating </w:t>
      </w:r>
      <w:r w:rsidR="00824002">
        <w:rPr>
          <w:rFonts w:ascii="Times New Roman" w:hAnsi="Times New Roman" w:cs="Times New Roman"/>
          <w:sz w:val="24"/>
          <w:szCs w:val="24"/>
        </w:rPr>
        <w:t>carbon dioxide (</w:t>
      </w:r>
      <w:r w:rsidR="002B6F8A" w:rsidRPr="00AD78A0">
        <w:rPr>
          <w:rFonts w:ascii="Times New Roman" w:hAnsi="Times New Roman" w:cs="Times New Roman"/>
          <w:sz w:val="24"/>
          <w:szCs w:val="24"/>
        </w:rPr>
        <w:t>CO</w:t>
      </w:r>
      <w:r w:rsidR="002B6F8A" w:rsidRPr="00AD78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24002">
        <w:rPr>
          <w:rFonts w:ascii="Times New Roman" w:hAnsi="Times New Roman" w:cs="Times New Roman"/>
          <w:sz w:val="24"/>
          <w:szCs w:val="24"/>
        </w:rPr>
        <w:t xml:space="preserve">) </w:t>
      </w:r>
      <w:r w:rsidR="002B6F8A" w:rsidRPr="00AD78A0">
        <w:rPr>
          <w:rFonts w:ascii="Times New Roman" w:hAnsi="Times New Roman" w:cs="Times New Roman"/>
          <w:sz w:val="24"/>
          <w:szCs w:val="24"/>
        </w:rPr>
        <w:t xml:space="preserve">emissions. </w:t>
      </w:r>
      <w:r w:rsidR="00185F45" w:rsidRPr="00AD78A0">
        <w:rPr>
          <w:rFonts w:ascii="Times New Roman" w:hAnsi="Times New Roman" w:cs="Times New Roman"/>
          <w:sz w:val="24"/>
          <w:szCs w:val="24"/>
        </w:rPr>
        <w:t xml:space="preserve">NIPSCO’s Reference Case </w:t>
      </w:r>
      <w:r w:rsidR="00CA367A" w:rsidRPr="00AD78A0">
        <w:rPr>
          <w:rFonts w:ascii="Times New Roman" w:hAnsi="Times New Roman" w:cs="Times New Roman"/>
          <w:sz w:val="24"/>
          <w:szCs w:val="24"/>
        </w:rPr>
        <w:t>assumes</w:t>
      </w:r>
      <w:r w:rsidR="00185F45" w:rsidRPr="00AD78A0">
        <w:rPr>
          <w:rFonts w:ascii="Times New Roman" w:hAnsi="Times New Roman" w:cs="Times New Roman"/>
          <w:sz w:val="24"/>
          <w:szCs w:val="24"/>
        </w:rPr>
        <w:t xml:space="preserve"> a price on CO</w:t>
      </w:r>
      <w:r w:rsidR="00185F45" w:rsidRPr="00AD78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5F45" w:rsidRPr="00AD78A0">
        <w:rPr>
          <w:rFonts w:ascii="Times New Roman" w:hAnsi="Times New Roman" w:cs="Times New Roman"/>
          <w:sz w:val="24"/>
          <w:szCs w:val="24"/>
        </w:rPr>
        <w:t xml:space="preserve"> emissions beginning in 2026</w:t>
      </w:r>
      <w:r w:rsidR="00845FB0" w:rsidRPr="00AD78A0">
        <w:rPr>
          <w:rFonts w:ascii="Times New Roman" w:hAnsi="Times New Roman" w:cs="Times New Roman"/>
          <w:sz w:val="24"/>
          <w:szCs w:val="24"/>
        </w:rPr>
        <w:t xml:space="preserve"> at $9/ton (in real $2020) and increasing to </w:t>
      </w:r>
      <w:r w:rsidR="00494245" w:rsidRPr="00AD78A0">
        <w:rPr>
          <w:rFonts w:ascii="Times New Roman" w:hAnsi="Times New Roman" w:cs="Times New Roman"/>
          <w:sz w:val="24"/>
          <w:szCs w:val="24"/>
        </w:rPr>
        <w:t xml:space="preserve">$15/ton by 2040. </w:t>
      </w:r>
      <w:r w:rsidR="004E0A45" w:rsidRPr="00AD78A0">
        <w:rPr>
          <w:rFonts w:ascii="Times New Roman" w:hAnsi="Times New Roman" w:cs="Times New Roman"/>
          <w:sz w:val="24"/>
          <w:szCs w:val="24"/>
        </w:rPr>
        <w:t>This range seems reasonable</w:t>
      </w:r>
      <w:r w:rsidR="00D47C14" w:rsidRPr="00AD78A0">
        <w:rPr>
          <w:rFonts w:ascii="Times New Roman" w:hAnsi="Times New Roman" w:cs="Times New Roman"/>
          <w:sz w:val="24"/>
          <w:szCs w:val="24"/>
        </w:rPr>
        <w:t xml:space="preserve"> when</w:t>
      </w:r>
      <w:r w:rsidR="00EC2CB0" w:rsidRPr="00AD78A0">
        <w:rPr>
          <w:rFonts w:ascii="Times New Roman" w:hAnsi="Times New Roman" w:cs="Times New Roman"/>
          <w:sz w:val="24"/>
          <w:szCs w:val="24"/>
        </w:rPr>
        <w:t xml:space="preserve"> comparing th</w:t>
      </w:r>
      <w:r w:rsidR="004E0A45" w:rsidRPr="00AD78A0">
        <w:rPr>
          <w:rFonts w:ascii="Times New Roman" w:hAnsi="Times New Roman" w:cs="Times New Roman"/>
          <w:sz w:val="24"/>
          <w:szCs w:val="24"/>
        </w:rPr>
        <w:t xml:space="preserve">is price range to </w:t>
      </w:r>
      <w:r w:rsidR="00F80708" w:rsidRPr="00AD78A0">
        <w:rPr>
          <w:rFonts w:ascii="Times New Roman" w:hAnsi="Times New Roman" w:cs="Times New Roman"/>
          <w:sz w:val="24"/>
          <w:szCs w:val="24"/>
        </w:rPr>
        <w:t>historical Regional Greenhouse Gas Initiative (RGGI)</w:t>
      </w:r>
      <w:r w:rsidR="00A11D9C" w:rsidRPr="00AD78A0">
        <w:rPr>
          <w:rFonts w:ascii="Times New Roman" w:hAnsi="Times New Roman" w:cs="Times New Roman"/>
          <w:sz w:val="24"/>
          <w:szCs w:val="24"/>
        </w:rPr>
        <w:t xml:space="preserve"> and California Carbon </w:t>
      </w:r>
      <w:r w:rsidR="009518D5" w:rsidRPr="00AD78A0">
        <w:rPr>
          <w:rFonts w:ascii="Times New Roman" w:hAnsi="Times New Roman" w:cs="Times New Roman"/>
          <w:sz w:val="24"/>
          <w:szCs w:val="24"/>
        </w:rPr>
        <w:t>market prices.</w:t>
      </w:r>
      <w:r w:rsidR="004E0A45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AC0B1F" w:rsidRPr="00AD78A0">
        <w:rPr>
          <w:rFonts w:ascii="Times New Roman" w:hAnsi="Times New Roman" w:cs="Times New Roman"/>
          <w:sz w:val="24"/>
          <w:szCs w:val="24"/>
        </w:rPr>
        <w:t>Given the pushback of implementing CO</w:t>
      </w:r>
      <w:r w:rsidR="00AC0B1F" w:rsidRPr="00AD78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C0B1F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E812BF" w:rsidRPr="00AD78A0">
        <w:rPr>
          <w:rFonts w:ascii="Times New Roman" w:hAnsi="Times New Roman" w:cs="Times New Roman"/>
          <w:sz w:val="24"/>
          <w:szCs w:val="24"/>
        </w:rPr>
        <w:t>standards at the federal level, th</w:t>
      </w:r>
      <w:r w:rsidR="00164D93" w:rsidRPr="00AD78A0">
        <w:rPr>
          <w:rFonts w:ascii="Times New Roman" w:hAnsi="Times New Roman" w:cs="Times New Roman"/>
          <w:sz w:val="24"/>
          <w:szCs w:val="24"/>
        </w:rPr>
        <w:t xml:space="preserve">e 2026 </w:t>
      </w:r>
      <w:r w:rsidR="00E812BF" w:rsidRPr="00AD78A0">
        <w:rPr>
          <w:rFonts w:ascii="Times New Roman" w:hAnsi="Times New Roman" w:cs="Times New Roman"/>
          <w:sz w:val="24"/>
          <w:szCs w:val="24"/>
        </w:rPr>
        <w:t xml:space="preserve">compliance timeline </w:t>
      </w:r>
      <w:r w:rsidR="00F220D6" w:rsidRPr="00AD78A0">
        <w:rPr>
          <w:rFonts w:ascii="Times New Roman" w:hAnsi="Times New Roman" w:cs="Times New Roman"/>
          <w:sz w:val="24"/>
          <w:szCs w:val="24"/>
        </w:rPr>
        <w:t xml:space="preserve">may </w:t>
      </w:r>
      <w:r w:rsidR="009C6D30" w:rsidRPr="00AD78A0">
        <w:rPr>
          <w:rFonts w:ascii="Times New Roman" w:hAnsi="Times New Roman" w:cs="Times New Roman"/>
          <w:sz w:val="24"/>
          <w:szCs w:val="24"/>
        </w:rPr>
        <w:t xml:space="preserve">be </w:t>
      </w:r>
      <w:r w:rsidR="008768A3" w:rsidRPr="00AD78A0">
        <w:rPr>
          <w:rFonts w:ascii="Times New Roman" w:hAnsi="Times New Roman" w:cs="Times New Roman"/>
          <w:sz w:val="24"/>
          <w:szCs w:val="24"/>
        </w:rPr>
        <w:t xml:space="preserve">unrealistic. </w:t>
      </w:r>
      <w:r w:rsidR="00F220D6" w:rsidRPr="00AD78A0">
        <w:rPr>
          <w:rFonts w:ascii="Times New Roman" w:hAnsi="Times New Roman" w:cs="Times New Roman"/>
          <w:sz w:val="24"/>
          <w:szCs w:val="24"/>
        </w:rPr>
        <w:t>However, NIPSCO</w:t>
      </w:r>
      <w:r w:rsidR="00D46018" w:rsidRPr="00AD78A0">
        <w:rPr>
          <w:rFonts w:ascii="Times New Roman" w:hAnsi="Times New Roman" w:cs="Times New Roman"/>
          <w:sz w:val="24"/>
          <w:szCs w:val="24"/>
        </w:rPr>
        <w:t xml:space="preserve">’s planning scenarios also includes a Status Quo </w:t>
      </w:r>
      <w:r w:rsidR="00551CE7" w:rsidRPr="00AD78A0">
        <w:rPr>
          <w:rFonts w:ascii="Times New Roman" w:hAnsi="Times New Roman" w:cs="Times New Roman"/>
          <w:sz w:val="24"/>
          <w:szCs w:val="24"/>
        </w:rPr>
        <w:t>Extended</w:t>
      </w:r>
      <w:r w:rsidR="00871ABF" w:rsidRPr="00AD78A0">
        <w:rPr>
          <w:rFonts w:ascii="Times New Roman" w:hAnsi="Times New Roman" w:cs="Times New Roman"/>
          <w:sz w:val="24"/>
          <w:szCs w:val="24"/>
        </w:rPr>
        <w:t xml:space="preserve">, which assumes federal carbon emission limits are not implemented. </w:t>
      </w:r>
    </w:p>
    <w:p w14:paraId="2161166F" w14:textId="5F1C62C0" w:rsidR="00EB0F26" w:rsidRPr="00AD78A0" w:rsidRDefault="00BC663C">
      <w:pPr>
        <w:rPr>
          <w:rFonts w:ascii="Times New Roman" w:hAnsi="Times New Roman" w:cs="Times New Roman"/>
          <w:sz w:val="24"/>
          <w:szCs w:val="24"/>
        </w:rPr>
      </w:pPr>
      <w:r w:rsidRPr="00AD78A0">
        <w:rPr>
          <w:rFonts w:ascii="Times New Roman" w:hAnsi="Times New Roman" w:cs="Times New Roman"/>
          <w:sz w:val="24"/>
          <w:szCs w:val="24"/>
        </w:rPr>
        <w:t xml:space="preserve">NIPSCO’s </w:t>
      </w:r>
      <w:r w:rsidR="00D21200" w:rsidRPr="00AD78A0">
        <w:rPr>
          <w:rFonts w:ascii="Times New Roman" w:hAnsi="Times New Roman" w:cs="Times New Roman"/>
          <w:sz w:val="24"/>
          <w:szCs w:val="24"/>
        </w:rPr>
        <w:t xml:space="preserve">planning scenarios </w:t>
      </w:r>
      <w:r w:rsidR="00E55306" w:rsidRPr="00AD78A0">
        <w:rPr>
          <w:rFonts w:ascii="Times New Roman" w:hAnsi="Times New Roman" w:cs="Times New Roman"/>
          <w:sz w:val="24"/>
          <w:szCs w:val="24"/>
        </w:rPr>
        <w:t xml:space="preserve">also </w:t>
      </w:r>
      <w:r w:rsidR="00D21200" w:rsidRPr="00AD78A0">
        <w:rPr>
          <w:rFonts w:ascii="Times New Roman" w:hAnsi="Times New Roman" w:cs="Times New Roman"/>
          <w:sz w:val="24"/>
          <w:szCs w:val="24"/>
        </w:rPr>
        <w:t xml:space="preserve">include </w:t>
      </w:r>
      <w:r w:rsidR="00150270" w:rsidRPr="00AD78A0">
        <w:rPr>
          <w:rFonts w:ascii="Times New Roman" w:hAnsi="Times New Roman" w:cs="Times New Roman"/>
          <w:sz w:val="24"/>
          <w:szCs w:val="24"/>
        </w:rPr>
        <w:t xml:space="preserve">two net-zero emission </w:t>
      </w:r>
      <w:r w:rsidR="00003DD3" w:rsidRPr="00AD78A0">
        <w:rPr>
          <w:rFonts w:ascii="Times New Roman" w:hAnsi="Times New Roman" w:cs="Times New Roman"/>
          <w:sz w:val="24"/>
          <w:szCs w:val="24"/>
        </w:rPr>
        <w:t xml:space="preserve">possible futures. The </w:t>
      </w:r>
      <w:r w:rsidR="00811B5C" w:rsidRPr="00AD78A0">
        <w:rPr>
          <w:rFonts w:ascii="Times New Roman" w:hAnsi="Times New Roman" w:cs="Times New Roman"/>
          <w:sz w:val="24"/>
          <w:szCs w:val="24"/>
        </w:rPr>
        <w:t xml:space="preserve">Aggressive Environmental </w:t>
      </w:r>
      <w:r w:rsidR="00656769" w:rsidRPr="00AD78A0">
        <w:rPr>
          <w:rFonts w:ascii="Times New Roman" w:hAnsi="Times New Roman" w:cs="Times New Roman"/>
          <w:sz w:val="24"/>
          <w:szCs w:val="24"/>
        </w:rPr>
        <w:t>Regulation</w:t>
      </w:r>
      <w:r w:rsidR="00A77F94" w:rsidRPr="00AD78A0">
        <w:rPr>
          <w:rFonts w:ascii="Times New Roman" w:hAnsi="Times New Roman" w:cs="Times New Roman"/>
          <w:sz w:val="24"/>
          <w:szCs w:val="24"/>
        </w:rPr>
        <w:t xml:space="preserve"> Scenario</w:t>
      </w:r>
      <w:r w:rsidR="00C83B57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284D8C" w:rsidRPr="00AD78A0">
        <w:rPr>
          <w:rFonts w:ascii="Times New Roman" w:hAnsi="Times New Roman" w:cs="Times New Roman"/>
          <w:sz w:val="24"/>
          <w:szCs w:val="24"/>
        </w:rPr>
        <w:t xml:space="preserve">includes </w:t>
      </w:r>
      <w:r w:rsidR="002D247F" w:rsidRPr="00AD78A0">
        <w:rPr>
          <w:rFonts w:ascii="Times New Roman" w:hAnsi="Times New Roman" w:cs="Times New Roman"/>
          <w:sz w:val="24"/>
          <w:szCs w:val="24"/>
        </w:rPr>
        <w:t>a federal tax or cap and trade program that results in high CO</w:t>
      </w:r>
      <w:r w:rsidR="002D247F" w:rsidRPr="00AD78A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D247F" w:rsidRPr="00AD78A0">
        <w:rPr>
          <w:rFonts w:ascii="Times New Roman" w:hAnsi="Times New Roman" w:cs="Times New Roman"/>
          <w:sz w:val="24"/>
          <w:szCs w:val="24"/>
        </w:rPr>
        <w:t>prices</w:t>
      </w:r>
      <w:r w:rsidR="00A77F94" w:rsidRPr="00AD78A0">
        <w:rPr>
          <w:rFonts w:ascii="Times New Roman" w:hAnsi="Times New Roman" w:cs="Times New Roman"/>
          <w:sz w:val="24"/>
          <w:szCs w:val="24"/>
        </w:rPr>
        <w:t xml:space="preserve">, and the Economy-Wide Decarbonization </w:t>
      </w:r>
      <w:r w:rsidR="006C2386" w:rsidRPr="00AD78A0">
        <w:rPr>
          <w:rFonts w:ascii="Times New Roman" w:hAnsi="Times New Roman" w:cs="Times New Roman"/>
          <w:sz w:val="24"/>
          <w:szCs w:val="24"/>
        </w:rPr>
        <w:t>scenario</w:t>
      </w:r>
      <w:r w:rsidR="00F6150A" w:rsidRPr="00AD78A0">
        <w:rPr>
          <w:rFonts w:ascii="Times New Roman" w:hAnsi="Times New Roman" w:cs="Times New Roman"/>
          <w:sz w:val="24"/>
          <w:szCs w:val="24"/>
        </w:rPr>
        <w:t xml:space="preserve"> relies on </w:t>
      </w:r>
      <w:r w:rsidR="00BC4BA8" w:rsidRPr="00AD78A0">
        <w:rPr>
          <w:rFonts w:ascii="Times New Roman" w:hAnsi="Times New Roman" w:cs="Times New Roman"/>
          <w:sz w:val="24"/>
          <w:szCs w:val="24"/>
        </w:rPr>
        <w:t>a power sector clean energy standard</w:t>
      </w:r>
      <w:r w:rsidR="004E79F8" w:rsidRPr="00AD78A0">
        <w:rPr>
          <w:rFonts w:ascii="Times New Roman" w:hAnsi="Times New Roman" w:cs="Times New Roman"/>
          <w:sz w:val="24"/>
          <w:szCs w:val="24"/>
        </w:rPr>
        <w:t xml:space="preserve"> with </w:t>
      </w:r>
      <w:r w:rsidR="00295647" w:rsidRPr="00AD78A0">
        <w:rPr>
          <w:rFonts w:ascii="Times New Roman" w:hAnsi="Times New Roman" w:cs="Times New Roman"/>
          <w:sz w:val="24"/>
          <w:szCs w:val="24"/>
        </w:rPr>
        <w:t xml:space="preserve">federal decarbonization incentives such as </w:t>
      </w:r>
      <w:r w:rsidR="00F60751" w:rsidRPr="00AD78A0">
        <w:rPr>
          <w:rFonts w:ascii="Times New Roman" w:hAnsi="Times New Roman" w:cs="Times New Roman"/>
          <w:sz w:val="24"/>
          <w:szCs w:val="24"/>
        </w:rPr>
        <w:t xml:space="preserve">extended and expanded federal tax credits for clean energy technologies and transportation </w:t>
      </w:r>
      <w:r w:rsidR="00E02937" w:rsidRPr="00AD78A0">
        <w:rPr>
          <w:rFonts w:ascii="Times New Roman" w:hAnsi="Times New Roman" w:cs="Times New Roman"/>
          <w:sz w:val="24"/>
          <w:szCs w:val="24"/>
        </w:rPr>
        <w:t>electrification</w:t>
      </w:r>
      <w:r w:rsidR="008519E8" w:rsidRPr="00AD78A0">
        <w:rPr>
          <w:rFonts w:ascii="Times New Roman" w:hAnsi="Times New Roman" w:cs="Times New Roman"/>
          <w:sz w:val="24"/>
          <w:szCs w:val="24"/>
        </w:rPr>
        <w:t xml:space="preserve"> incentives</w:t>
      </w:r>
      <w:r w:rsidR="004D226C" w:rsidRPr="00AD78A0">
        <w:rPr>
          <w:rFonts w:ascii="Times New Roman" w:hAnsi="Times New Roman" w:cs="Times New Roman"/>
          <w:sz w:val="24"/>
          <w:szCs w:val="24"/>
        </w:rPr>
        <w:t xml:space="preserve">. </w:t>
      </w:r>
      <w:r w:rsidR="008D0FB9" w:rsidRPr="00AD78A0">
        <w:rPr>
          <w:rFonts w:ascii="Times New Roman" w:hAnsi="Times New Roman" w:cs="Times New Roman"/>
          <w:sz w:val="24"/>
          <w:szCs w:val="24"/>
        </w:rPr>
        <w:t xml:space="preserve">Comparing how NIPSCO’s </w:t>
      </w:r>
      <w:r w:rsidR="007324A5" w:rsidRPr="00AD78A0">
        <w:rPr>
          <w:rFonts w:ascii="Times New Roman" w:hAnsi="Times New Roman" w:cs="Times New Roman"/>
          <w:sz w:val="24"/>
          <w:szCs w:val="24"/>
        </w:rPr>
        <w:t>resource portfolios perform across two</w:t>
      </w:r>
      <w:r w:rsidR="004D226C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306CE9" w:rsidRPr="00AD78A0">
        <w:rPr>
          <w:rFonts w:ascii="Times New Roman" w:hAnsi="Times New Roman" w:cs="Times New Roman"/>
          <w:sz w:val="24"/>
          <w:szCs w:val="24"/>
        </w:rPr>
        <w:t xml:space="preserve">possible </w:t>
      </w:r>
      <w:r w:rsidR="00F51B1C" w:rsidRPr="00AD78A0">
        <w:rPr>
          <w:rFonts w:ascii="Times New Roman" w:hAnsi="Times New Roman" w:cs="Times New Roman"/>
          <w:sz w:val="24"/>
          <w:szCs w:val="24"/>
        </w:rPr>
        <w:t xml:space="preserve">policy </w:t>
      </w:r>
      <w:r w:rsidR="008A44B6" w:rsidRPr="00AD78A0">
        <w:rPr>
          <w:rFonts w:ascii="Times New Roman" w:hAnsi="Times New Roman" w:cs="Times New Roman"/>
          <w:sz w:val="24"/>
          <w:szCs w:val="24"/>
        </w:rPr>
        <w:t>futures</w:t>
      </w:r>
      <w:r w:rsidR="004D226C" w:rsidRPr="00AD78A0">
        <w:rPr>
          <w:rFonts w:ascii="Times New Roman" w:hAnsi="Times New Roman" w:cs="Times New Roman"/>
          <w:sz w:val="24"/>
          <w:szCs w:val="24"/>
        </w:rPr>
        <w:t xml:space="preserve"> for </w:t>
      </w:r>
      <w:r w:rsidR="00306CE9" w:rsidRPr="00AD78A0">
        <w:rPr>
          <w:rFonts w:ascii="Times New Roman" w:hAnsi="Times New Roman" w:cs="Times New Roman"/>
          <w:sz w:val="24"/>
          <w:szCs w:val="24"/>
        </w:rPr>
        <w:t>reaching net-</w:t>
      </w:r>
      <w:r w:rsidR="00C40AE2" w:rsidRPr="00AD78A0">
        <w:rPr>
          <w:rFonts w:ascii="Times New Roman" w:hAnsi="Times New Roman" w:cs="Times New Roman"/>
          <w:sz w:val="24"/>
          <w:szCs w:val="24"/>
        </w:rPr>
        <w:t>zero</w:t>
      </w:r>
      <w:r w:rsidR="00B15F7B" w:rsidRPr="00AD78A0">
        <w:rPr>
          <w:rFonts w:ascii="Times New Roman" w:hAnsi="Times New Roman" w:cs="Times New Roman"/>
          <w:sz w:val="24"/>
          <w:szCs w:val="24"/>
        </w:rPr>
        <w:t xml:space="preserve"> CO</w:t>
      </w:r>
      <w:r w:rsidR="00B15F7B" w:rsidRPr="00AD78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15F7B" w:rsidRPr="00AD78A0">
        <w:rPr>
          <w:rFonts w:ascii="Times New Roman" w:hAnsi="Times New Roman" w:cs="Times New Roman"/>
          <w:sz w:val="24"/>
          <w:szCs w:val="24"/>
        </w:rPr>
        <w:t xml:space="preserve"> emissions</w:t>
      </w:r>
      <w:r w:rsidR="00C40AE2" w:rsidRPr="00AD78A0">
        <w:rPr>
          <w:rFonts w:ascii="Times New Roman" w:hAnsi="Times New Roman" w:cs="Times New Roman"/>
          <w:sz w:val="24"/>
          <w:szCs w:val="24"/>
        </w:rPr>
        <w:t xml:space="preserve"> is helpful</w:t>
      </w:r>
      <w:r w:rsidR="007D4351" w:rsidRPr="00AD78A0">
        <w:rPr>
          <w:rFonts w:ascii="Times New Roman" w:hAnsi="Times New Roman" w:cs="Times New Roman"/>
          <w:sz w:val="24"/>
          <w:szCs w:val="24"/>
        </w:rPr>
        <w:t xml:space="preserve"> because</w:t>
      </w:r>
      <w:r w:rsidR="008A44B6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A86B33" w:rsidRPr="00AD78A0">
        <w:rPr>
          <w:rFonts w:ascii="Times New Roman" w:hAnsi="Times New Roman" w:cs="Times New Roman"/>
          <w:sz w:val="24"/>
          <w:szCs w:val="24"/>
        </w:rPr>
        <w:t xml:space="preserve">one policy initiative may be more likely to be implemented </w:t>
      </w:r>
      <w:r w:rsidR="008A2D36" w:rsidRPr="00AD78A0">
        <w:rPr>
          <w:rFonts w:ascii="Times New Roman" w:hAnsi="Times New Roman" w:cs="Times New Roman"/>
          <w:sz w:val="24"/>
          <w:szCs w:val="24"/>
        </w:rPr>
        <w:t xml:space="preserve">than the other policy initiative. </w:t>
      </w:r>
    </w:p>
    <w:p w14:paraId="62AFBC64" w14:textId="74E43FC4" w:rsidR="007A6BA6" w:rsidRDefault="0034285B">
      <w:pPr>
        <w:rPr>
          <w:rFonts w:ascii="Times New Roman" w:hAnsi="Times New Roman" w:cs="Times New Roman"/>
          <w:sz w:val="24"/>
          <w:szCs w:val="24"/>
        </w:rPr>
      </w:pPr>
      <w:r w:rsidRPr="00AD78A0">
        <w:rPr>
          <w:rFonts w:ascii="Times New Roman" w:hAnsi="Times New Roman" w:cs="Times New Roman"/>
          <w:sz w:val="24"/>
          <w:szCs w:val="24"/>
        </w:rPr>
        <w:t xml:space="preserve">As the OUCC has noted in </w:t>
      </w:r>
      <w:r w:rsidR="00F36A12" w:rsidRPr="00AD78A0">
        <w:rPr>
          <w:rFonts w:ascii="Times New Roman" w:hAnsi="Times New Roman" w:cs="Times New Roman"/>
          <w:sz w:val="24"/>
          <w:szCs w:val="24"/>
        </w:rPr>
        <w:t>its previous IRP comments, CO</w:t>
      </w:r>
      <w:r w:rsidR="00F36A12" w:rsidRPr="00AD78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36A12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E96B6A" w:rsidRPr="00AD78A0">
        <w:rPr>
          <w:rFonts w:ascii="Times New Roman" w:hAnsi="Times New Roman" w:cs="Times New Roman"/>
          <w:sz w:val="24"/>
          <w:szCs w:val="24"/>
        </w:rPr>
        <w:t>should not be the</w:t>
      </w:r>
      <w:r w:rsidR="00F36A12" w:rsidRPr="00AD78A0">
        <w:rPr>
          <w:rFonts w:ascii="Times New Roman" w:hAnsi="Times New Roman" w:cs="Times New Roman"/>
          <w:sz w:val="24"/>
          <w:szCs w:val="24"/>
        </w:rPr>
        <w:t xml:space="preserve"> only </w:t>
      </w:r>
      <w:r w:rsidR="00E96B6A" w:rsidRPr="00AD78A0">
        <w:rPr>
          <w:rFonts w:ascii="Times New Roman" w:hAnsi="Times New Roman" w:cs="Times New Roman"/>
          <w:sz w:val="24"/>
          <w:szCs w:val="24"/>
        </w:rPr>
        <w:t>consideration</w:t>
      </w:r>
      <w:r w:rsidR="00E02A7D" w:rsidRPr="00AD78A0">
        <w:rPr>
          <w:rFonts w:ascii="Times New Roman" w:hAnsi="Times New Roman" w:cs="Times New Roman"/>
          <w:sz w:val="24"/>
          <w:szCs w:val="24"/>
        </w:rPr>
        <w:t xml:space="preserve"> in future environmental compliance assumptions. </w:t>
      </w:r>
      <w:r w:rsidR="00C246F3" w:rsidRPr="00AD78A0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094B97" w:rsidRPr="00AD78A0">
        <w:rPr>
          <w:rFonts w:ascii="Times New Roman" w:hAnsi="Times New Roman" w:cs="Times New Roman"/>
          <w:sz w:val="24"/>
          <w:szCs w:val="24"/>
        </w:rPr>
        <w:t xml:space="preserve">state or federal </w:t>
      </w:r>
      <w:r w:rsidR="008071FA" w:rsidRPr="00AD78A0">
        <w:rPr>
          <w:rFonts w:ascii="Times New Roman" w:hAnsi="Times New Roman" w:cs="Times New Roman"/>
          <w:sz w:val="24"/>
          <w:szCs w:val="24"/>
        </w:rPr>
        <w:t xml:space="preserve">restrictions on </w:t>
      </w:r>
      <w:r w:rsidR="00094B97" w:rsidRPr="00AD78A0">
        <w:rPr>
          <w:rFonts w:ascii="Times New Roman" w:hAnsi="Times New Roman" w:cs="Times New Roman"/>
          <w:sz w:val="24"/>
          <w:szCs w:val="24"/>
        </w:rPr>
        <w:t xml:space="preserve">hydraulic </w:t>
      </w:r>
      <w:r w:rsidR="008071FA" w:rsidRPr="00AD78A0">
        <w:rPr>
          <w:rFonts w:ascii="Times New Roman" w:hAnsi="Times New Roman" w:cs="Times New Roman"/>
          <w:sz w:val="24"/>
          <w:szCs w:val="24"/>
        </w:rPr>
        <w:t xml:space="preserve">fracking have the potential </w:t>
      </w:r>
      <w:r w:rsidR="001D63A4" w:rsidRPr="00AD78A0">
        <w:rPr>
          <w:rFonts w:ascii="Times New Roman" w:hAnsi="Times New Roman" w:cs="Times New Roman"/>
          <w:sz w:val="24"/>
          <w:szCs w:val="24"/>
        </w:rPr>
        <w:t>to impact natural gas prices</w:t>
      </w:r>
      <w:r w:rsidR="00B914B2" w:rsidRPr="00AD78A0">
        <w:rPr>
          <w:rFonts w:ascii="Times New Roman" w:hAnsi="Times New Roman" w:cs="Times New Roman"/>
          <w:sz w:val="24"/>
          <w:szCs w:val="24"/>
        </w:rPr>
        <w:t>. It is not clear if NIPSCO’s</w:t>
      </w:r>
      <w:r w:rsidR="003E6E06" w:rsidRPr="00AD78A0">
        <w:rPr>
          <w:rFonts w:ascii="Times New Roman" w:hAnsi="Times New Roman" w:cs="Times New Roman"/>
          <w:sz w:val="24"/>
          <w:szCs w:val="24"/>
        </w:rPr>
        <w:t xml:space="preserve"> natural</w:t>
      </w:r>
      <w:r w:rsidR="00B914B2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3E6E06" w:rsidRPr="00AD78A0">
        <w:rPr>
          <w:rFonts w:ascii="Times New Roman" w:hAnsi="Times New Roman" w:cs="Times New Roman"/>
          <w:sz w:val="24"/>
          <w:szCs w:val="24"/>
        </w:rPr>
        <w:t>gas price assumptions</w:t>
      </w:r>
      <w:r w:rsidR="00E750D3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B27837" w:rsidRPr="00AD78A0">
        <w:rPr>
          <w:rFonts w:ascii="Times New Roman" w:hAnsi="Times New Roman" w:cs="Times New Roman"/>
          <w:sz w:val="24"/>
          <w:szCs w:val="24"/>
        </w:rPr>
        <w:t xml:space="preserve">included potential </w:t>
      </w:r>
      <w:r w:rsidR="003C569C" w:rsidRPr="00AD78A0">
        <w:rPr>
          <w:rFonts w:ascii="Times New Roman" w:hAnsi="Times New Roman" w:cs="Times New Roman"/>
          <w:sz w:val="24"/>
          <w:szCs w:val="24"/>
        </w:rPr>
        <w:t>hydraulic frac</w:t>
      </w:r>
      <w:r w:rsidR="006E1CD3" w:rsidRPr="00AD78A0">
        <w:rPr>
          <w:rFonts w:ascii="Times New Roman" w:hAnsi="Times New Roman" w:cs="Times New Roman"/>
          <w:sz w:val="24"/>
          <w:szCs w:val="24"/>
        </w:rPr>
        <w:t>king</w:t>
      </w:r>
      <w:r w:rsidR="003C569C" w:rsidRPr="00AD78A0">
        <w:rPr>
          <w:rFonts w:ascii="Times New Roman" w:hAnsi="Times New Roman" w:cs="Times New Roman"/>
          <w:sz w:val="24"/>
          <w:szCs w:val="24"/>
        </w:rPr>
        <w:t xml:space="preserve"> regulations. </w:t>
      </w:r>
      <w:r w:rsidR="000C7BE5" w:rsidRPr="00AD78A0">
        <w:rPr>
          <w:rFonts w:ascii="Times New Roman" w:hAnsi="Times New Roman" w:cs="Times New Roman"/>
          <w:sz w:val="24"/>
          <w:szCs w:val="24"/>
        </w:rPr>
        <w:t xml:space="preserve">The OUCC recommends </w:t>
      </w:r>
      <w:r w:rsidR="006E1CD3" w:rsidRPr="00AD78A0">
        <w:rPr>
          <w:rFonts w:ascii="Times New Roman" w:hAnsi="Times New Roman" w:cs="Times New Roman"/>
          <w:sz w:val="24"/>
          <w:szCs w:val="24"/>
        </w:rPr>
        <w:t xml:space="preserve">NIPSCO consider and discuss </w:t>
      </w:r>
      <w:r w:rsidR="000E6F93" w:rsidRPr="00AD78A0">
        <w:rPr>
          <w:rFonts w:ascii="Times New Roman" w:hAnsi="Times New Roman" w:cs="Times New Roman"/>
          <w:sz w:val="24"/>
          <w:szCs w:val="24"/>
        </w:rPr>
        <w:t xml:space="preserve">other </w:t>
      </w:r>
      <w:r w:rsidR="0061780D" w:rsidRPr="00AD78A0">
        <w:rPr>
          <w:rFonts w:ascii="Times New Roman" w:hAnsi="Times New Roman" w:cs="Times New Roman"/>
          <w:sz w:val="24"/>
          <w:szCs w:val="24"/>
        </w:rPr>
        <w:t xml:space="preserve">environmental regulations impacting the natural gas industry or </w:t>
      </w:r>
      <w:r w:rsidR="00461E4F" w:rsidRPr="00AD78A0">
        <w:rPr>
          <w:rFonts w:ascii="Times New Roman" w:hAnsi="Times New Roman" w:cs="Times New Roman"/>
          <w:sz w:val="24"/>
          <w:szCs w:val="24"/>
        </w:rPr>
        <w:t xml:space="preserve">availability of renewable generation materials </w:t>
      </w:r>
      <w:r w:rsidR="001D39B1" w:rsidRPr="00AD78A0">
        <w:rPr>
          <w:rFonts w:ascii="Times New Roman" w:hAnsi="Times New Roman" w:cs="Times New Roman"/>
          <w:sz w:val="24"/>
          <w:szCs w:val="24"/>
        </w:rPr>
        <w:t>in future IRP analyses.</w:t>
      </w:r>
      <w:r w:rsidR="003E6E06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E96B6A" w:rsidRPr="00AD78A0">
        <w:rPr>
          <w:rFonts w:ascii="Times New Roman" w:hAnsi="Times New Roman" w:cs="Times New Roman"/>
          <w:sz w:val="24"/>
          <w:szCs w:val="24"/>
        </w:rPr>
        <w:t xml:space="preserve"> </w:t>
      </w:r>
      <w:r w:rsidR="00F36A12" w:rsidRPr="00AD7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3331" w14:textId="4BD36641" w:rsidR="00AD78A0" w:rsidRPr="002F25DC" w:rsidRDefault="00AD78A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5221341"/>
      <w:r w:rsidRPr="002F25DC">
        <w:rPr>
          <w:rFonts w:ascii="Times New Roman" w:hAnsi="Times New Roman" w:cs="Times New Roman"/>
          <w:b/>
          <w:bCs/>
          <w:sz w:val="24"/>
          <w:szCs w:val="24"/>
          <w:u w:val="single"/>
        </w:rPr>
        <w:t>Hourly Projected Energy Balance</w:t>
      </w:r>
    </w:p>
    <w:p w14:paraId="27413E39" w14:textId="368503AB" w:rsidR="00AD78A0" w:rsidRPr="002F25DC" w:rsidRDefault="00AD78A0" w:rsidP="00AD78A0">
      <w:pPr>
        <w:rPr>
          <w:rFonts w:ascii="Times New Roman" w:hAnsi="Times New Roman" w:cs="Times New Roman"/>
          <w:sz w:val="24"/>
          <w:szCs w:val="24"/>
        </w:rPr>
      </w:pPr>
      <w:r w:rsidRPr="002F25DC">
        <w:rPr>
          <w:rFonts w:ascii="Times New Roman" w:hAnsi="Times New Roman" w:cs="Times New Roman"/>
          <w:sz w:val="24"/>
          <w:szCs w:val="24"/>
        </w:rPr>
        <w:t xml:space="preserve">The OUCC is concerned with NIPSCO’s hourly projected energy balance – especially after Michigan City’s retirement. NIPSCO identifies this issue on page 10 of the IRP Summary, but no remedy is cited. On page 22 of the IRP Plan, Figure 2-8, the imbalance is further illustrated. This imbalance, occurring nearly every day, exposes NIPSCO to the market and further assumes the market can reliably supply the power. </w:t>
      </w:r>
      <w:r w:rsidR="002F25DC" w:rsidRPr="002F25DC">
        <w:rPr>
          <w:rFonts w:ascii="Times New Roman" w:hAnsi="Times New Roman" w:cs="Times New Roman"/>
          <w:sz w:val="24"/>
          <w:szCs w:val="24"/>
        </w:rPr>
        <w:t xml:space="preserve">While NIPSCO’s energy resources </w:t>
      </w:r>
      <w:r w:rsidR="00824002">
        <w:rPr>
          <w:rFonts w:ascii="Times New Roman" w:hAnsi="Times New Roman" w:cs="Times New Roman"/>
          <w:sz w:val="24"/>
          <w:szCs w:val="24"/>
        </w:rPr>
        <w:t xml:space="preserve">are </w:t>
      </w:r>
      <w:r w:rsidR="002F25DC" w:rsidRPr="002F25DC">
        <w:rPr>
          <w:rFonts w:ascii="Times New Roman" w:hAnsi="Times New Roman" w:cs="Times New Roman"/>
          <w:sz w:val="24"/>
          <w:szCs w:val="24"/>
        </w:rPr>
        <w:t>in the Midcontinent Independent Operator’s Zone 6, m</w:t>
      </w:r>
      <w:r w:rsidRPr="002F25DC">
        <w:rPr>
          <w:rFonts w:ascii="Times New Roman" w:hAnsi="Times New Roman" w:cs="Times New Roman"/>
          <w:sz w:val="24"/>
          <w:szCs w:val="24"/>
        </w:rPr>
        <w:t xml:space="preserve">any of the resources </w:t>
      </w:r>
      <w:r w:rsidR="002F25DC" w:rsidRPr="002F25DC">
        <w:rPr>
          <w:rFonts w:ascii="Times New Roman" w:hAnsi="Times New Roman" w:cs="Times New Roman"/>
          <w:sz w:val="24"/>
          <w:szCs w:val="24"/>
        </w:rPr>
        <w:t xml:space="preserve">shown </w:t>
      </w:r>
      <w:r w:rsidRPr="002F25DC">
        <w:rPr>
          <w:rFonts w:ascii="Times New Roman" w:hAnsi="Times New Roman" w:cs="Times New Roman"/>
          <w:sz w:val="24"/>
          <w:szCs w:val="24"/>
        </w:rPr>
        <w:t>in Figure 2-8 are not local to the NIPSCO system</w:t>
      </w:r>
      <w:r w:rsidR="002F25DC" w:rsidRPr="002F25DC">
        <w:rPr>
          <w:rFonts w:ascii="Times New Roman" w:hAnsi="Times New Roman" w:cs="Times New Roman"/>
          <w:sz w:val="24"/>
          <w:szCs w:val="24"/>
        </w:rPr>
        <w:t xml:space="preserve">.  This </w:t>
      </w:r>
      <w:r w:rsidRPr="002F25DC">
        <w:rPr>
          <w:rFonts w:ascii="Times New Roman" w:hAnsi="Times New Roman" w:cs="Times New Roman"/>
          <w:sz w:val="24"/>
          <w:szCs w:val="24"/>
        </w:rPr>
        <w:t>impl</w:t>
      </w:r>
      <w:r w:rsidR="002F25DC" w:rsidRPr="002F25DC">
        <w:rPr>
          <w:rFonts w:ascii="Times New Roman" w:hAnsi="Times New Roman" w:cs="Times New Roman"/>
          <w:sz w:val="24"/>
          <w:szCs w:val="24"/>
        </w:rPr>
        <w:t>ies</w:t>
      </w:r>
      <w:r w:rsidRPr="002F25DC">
        <w:rPr>
          <w:rFonts w:ascii="Times New Roman" w:hAnsi="Times New Roman" w:cs="Times New Roman"/>
          <w:sz w:val="24"/>
          <w:szCs w:val="24"/>
        </w:rPr>
        <w:t xml:space="preserve"> a high degree of transmission import capability will be required.</w:t>
      </w:r>
    </w:p>
    <w:bookmarkEnd w:id="0"/>
    <w:p w14:paraId="6D4D46AD" w14:textId="489D4AF1" w:rsidR="00BE32FD" w:rsidRPr="002F25DC" w:rsidRDefault="00BE32FD">
      <w:pPr>
        <w:rPr>
          <w:rFonts w:ascii="Times New Roman" w:hAnsi="Times New Roman" w:cs="Times New Roman"/>
        </w:rPr>
      </w:pPr>
    </w:p>
    <w:p w14:paraId="5550CF33" w14:textId="77777777" w:rsidR="00BE32FD" w:rsidRPr="00BE32FD" w:rsidRDefault="00BE32FD">
      <w:pPr>
        <w:rPr>
          <w:rFonts w:ascii="Times New Roman" w:hAnsi="Times New Roman" w:cs="Times New Roman"/>
        </w:rPr>
      </w:pPr>
    </w:p>
    <w:sectPr w:rsidR="00BE32FD" w:rsidRPr="00BE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16AD" w14:textId="77777777" w:rsidR="00901941" w:rsidRDefault="00901941" w:rsidP="00A06B70">
      <w:pPr>
        <w:spacing w:after="0" w:line="240" w:lineRule="auto"/>
      </w:pPr>
      <w:r>
        <w:separator/>
      </w:r>
    </w:p>
  </w:endnote>
  <w:endnote w:type="continuationSeparator" w:id="0">
    <w:p w14:paraId="1B5F6053" w14:textId="77777777" w:rsidR="00901941" w:rsidRDefault="00901941" w:rsidP="00A0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A44B" w14:textId="77777777" w:rsidR="00901941" w:rsidRDefault="00901941" w:rsidP="00A06B70">
      <w:pPr>
        <w:spacing w:after="0" w:line="240" w:lineRule="auto"/>
      </w:pPr>
      <w:r>
        <w:separator/>
      </w:r>
    </w:p>
  </w:footnote>
  <w:footnote w:type="continuationSeparator" w:id="0">
    <w:p w14:paraId="3D30E4CC" w14:textId="77777777" w:rsidR="00901941" w:rsidRDefault="00901941" w:rsidP="00A06B70">
      <w:pPr>
        <w:spacing w:after="0" w:line="240" w:lineRule="auto"/>
      </w:pPr>
      <w:r>
        <w:continuationSeparator/>
      </w:r>
    </w:p>
  </w:footnote>
  <w:footnote w:id="1">
    <w:p w14:paraId="2EA14240" w14:textId="39E8A0B1" w:rsidR="00A06B70" w:rsidRPr="00990502" w:rsidRDefault="00A06B70">
      <w:pPr>
        <w:pStyle w:val="FootnoteText"/>
        <w:rPr>
          <w:rFonts w:ascii="Times New Roman" w:hAnsi="Times New Roman" w:cs="Times New Roman"/>
        </w:rPr>
      </w:pPr>
      <w:r w:rsidRPr="00990502">
        <w:rPr>
          <w:rStyle w:val="FootnoteReference"/>
          <w:rFonts w:ascii="Times New Roman" w:hAnsi="Times New Roman" w:cs="Times New Roman"/>
        </w:rPr>
        <w:footnoteRef/>
      </w:r>
      <w:r w:rsidRPr="00990502">
        <w:rPr>
          <w:rFonts w:ascii="Times New Roman" w:hAnsi="Times New Roman" w:cs="Times New Roman"/>
        </w:rPr>
        <w:t xml:space="preserve"> </w:t>
      </w:r>
      <w:r w:rsidR="003C59E1" w:rsidRPr="00990502">
        <w:rPr>
          <w:rFonts w:ascii="Times New Roman" w:hAnsi="Times New Roman" w:cs="Times New Roman"/>
        </w:rPr>
        <w:t xml:space="preserve">U.S. EPA. </w:t>
      </w:r>
      <w:r w:rsidR="003C59E1" w:rsidRPr="00990502">
        <w:rPr>
          <w:rFonts w:ascii="Times New Roman" w:hAnsi="Times New Roman" w:cs="Times New Roman"/>
          <w:b/>
          <w:bCs/>
          <w:i/>
          <w:iCs/>
        </w:rPr>
        <w:t>Coal Combustion Residuals Part A Implementation</w:t>
      </w:r>
      <w:r w:rsidR="00B84DB8" w:rsidRPr="00990502">
        <w:rPr>
          <w:rFonts w:ascii="Times New Roman" w:hAnsi="Times New Roman" w:cs="Times New Roman"/>
        </w:rPr>
        <w:t xml:space="preserve">. </w:t>
      </w:r>
      <w:hyperlink r:id="rId1" w:history="1">
        <w:r w:rsidR="00B84DB8" w:rsidRPr="00990502">
          <w:rPr>
            <w:rStyle w:val="Hyperlink"/>
            <w:rFonts w:ascii="Times New Roman" w:hAnsi="Times New Roman" w:cs="Times New Roman"/>
          </w:rPr>
          <w:t>https://www.epa.gov/coalash/coal-combustion-residuals-ccr-part-implementation</w:t>
        </w:r>
      </w:hyperlink>
      <w:r w:rsidR="00B84DB8" w:rsidRPr="00990502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FD"/>
    <w:rsid w:val="00002B40"/>
    <w:rsid w:val="00003DD3"/>
    <w:rsid w:val="00004D94"/>
    <w:rsid w:val="00057B08"/>
    <w:rsid w:val="00063620"/>
    <w:rsid w:val="0008098E"/>
    <w:rsid w:val="000829B6"/>
    <w:rsid w:val="00091467"/>
    <w:rsid w:val="00094B97"/>
    <w:rsid w:val="000B42F0"/>
    <w:rsid w:val="000C7BE5"/>
    <w:rsid w:val="000E6F93"/>
    <w:rsid w:val="00124E7D"/>
    <w:rsid w:val="001335A6"/>
    <w:rsid w:val="00140446"/>
    <w:rsid w:val="00141C10"/>
    <w:rsid w:val="00150270"/>
    <w:rsid w:val="00164D93"/>
    <w:rsid w:val="00185F45"/>
    <w:rsid w:val="00194D66"/>
    <w:rsid w:val="001D39B1"/>
    <w:rsid w:val="001D63A4"/>
    <w:rsid w:val="001E31AE"/>
    <w:rsid w:val="001E610F"/>
    <w:rsid w:val="001F42D8"/>
    <w:rsid w:val="00213C61"/>
    <w:rsid w:val="002250DD"/>
    <w:rsid w:val="00284D8C"/>
    <w:rsid w:val="00295647"/>
    <w:rsid w:val="002970F5"/>
    <w:rsid w:val="002B6F8A"/>
    <w:rsid w:val="002D247F"/>
    <w:rsid w:val="002D649D"/>
    <w:rsid w:val="002F25DC"/>
    <w:rsid w:val="00306CE9"/>
    <w:rsid w:val="00313D03"/>
    <w:rsid w:val="0034285B"/>
    <w:rsid w:val="00393CAB"/>
    <w:rsid w:val="003C569C"/>
    <w:rsid w:val="003C59E1"/>
    <w:rsid w:val="003E2238"/>
    <w:rsid w:val="003E6E06"/>
    <w:rsid w:val="003F3C90"/>
    <w:rsid w:val="0045485F"/>
    <w:rsid w:val="00461E4F"/>
    <w:rsid w:val="00470EB5"/>
    <w:rsid w:val="00494245"/>
    <w:rsid w:val="004B0FBC"/>
    <w:rsid w:val="004B20C4"/>
    <w:rsid w:val="004B786A"/>
    <w:rsid w:val="004D226C"/>
    <w:rsid w:val="004E0A45"/>
    <w:rsid w:val="004E4C54"/>
    <w:rsid w:val="004E79F8"/>
    <w:rsid w:val="00541B55"/>
    <w:rsid w:val="00551CE7"/>
    <w:rsid w:val="00575D5A"/>
    <w:rsid w:val="0058008A"/>
    <w:rsid w:val="005804C5"/>
    <w:rsid w:val="005B1C8C"/>
    <w:rsid w:val="005C26CC"/>
    <w:rsid w:val="005E1C19"/>
    <w:rsid w:val="005F0A1C"/>
    <w:rsid w:val="00611DF8"/>
    <w:rsid w:val="00612553"/>
    <w:rsid w:val="0061780D"/>
    <w:rsid w:val="006428F2"/>
    <w:rsid w:val="006451C7"/>
    <w:rsid w:val="00652317"/>
    <w:rsid w:val="00656769"/>
    <w:rsid w:val="006B1B59"/>
    <w:rsid w:val="006B67B5"/>
    <w:rsid w:val="006C0E71"/>
    <w:rsid w:val="006C2386"/>
    <w:rsid w:val="006E1CD3"/>
    <w:rsid w:val="00714330"/>
    <w:rsid w:val="0072052E"/>
    <w:rsid w:val="007324A5"/>
    <w:rsid w:val="00755EE3"/>
    <w:rsid w:val="00770878"/>
    <w:rsid w:val="007A6BA6"/>
    <w:rsid w:val="007D4351"/>
    <w:rsid w:val="007F7C9C"/>
    <w:rsid w:val="008071FA"/>
    <w:rsid w:val="00811B5C"/>
    <w:rsid w:val="00824002"/>
    <w:rsid w:val="00845FB0"/>
    <w:rsid w:val="008519E8"/>
    <w:rsid w:val="00854C84"/>
    <w:rsid w:val="00871ABF"/>
    <w:rsid w:val="008768A3"/>
    <w:rsid w:val="008A2D36"/>
    <w:rsid w:val="008A44B6"/>
    <w:rsid w:val="008B3938"/>
    <w:rsid w:val="008D0FB9"/>
    <w:rsid w:val="008D34D7"/>
    <w:rsid w:val="008E11F2"/>
    <w:rsid w:val="008E215B"/>
    <w:rsid w:val="00901941"/>
    <w:rsid w:val="00936F47"/>
    <w:rsid w:val="009518D5"/>
    <w:rsid w:val="00951C5B"/>
    <w:rsid w:val="00977664"/>
    <w:rsid w:val="00990502"/>
    <w:rsid w:val="009C6D30"/>
    <w:rsid w:val="009D42C9"/>
    <w:rsid w:val="00A06B70"/>
    <w:rsid w:val="00A11D9C"/>
    <w:rsid w:val="00A50582"/>
    <w:rsid w:val="00A77F94"/>
    <w:rsid w:val="00A86B33"/>
    <w:rsid w:val="00AA34EC"/>
    <w:rsid w:val="00AC0B1F"/>
    <w:rsid w:val="00AC6FA7"/>
    <w:rsid w:val="00AD78A0"/>
    <w:rsid w:val="00B15F7B"/>
    <w:rsid w:val="00B27837"/>
    <w:rsid w:val="00B50437"/>
    <w:rsid w:val="00B541AE"/>
    <w:rsid w:val="00B84DB8"/>
    <w:rsid w:val="00B914B2"/>
    <w:rsid w:val="00BC4BA8"/>
    <w:rsid w:val="00BC5EA3"/>
    <w:rsid w:val="00BC663C"/>
    <w:rsid w:val="00BE32FD"/>
    <w:rsid w:val="00C02FC3"/>
    <w:rsid w:val="00C246F3"/>
    <w:rsid w:val="00C24C9C"/>
    <w:rsid w:val="00C40AE2"/>
    <w:rsid w:val="00C51B71"/>
    <w:rsid w:val="00C72807"/>
    <w:rsid w:val="00C8218E"/>
    <w:rsid w:val="00C83B57"/>
    <w:rsid w:val="00CA2A00"/>
    <w:rsid w:val="00CA2EF8"/>
    <w:rsid w:val="00CA367A"/>
    <w:rsid w:val="00CB0C73"/>
    <w:rsid w:val="00CB4903"/>
    <w:rsid w:val="00CD11CF"/>
    <w:rsid w:val="00CE21BE"/>
    <w:rsid w:val="00CE4EA1"/>
    <w:rsid w:val="00CE777D"/>
    <w:rsid w:val="00CF3152"/>
    <w:rsid w:val="00D14E03"/>
    <w:rsid w:val="00D16A89"/>
    <w:rsid w:val="00D21200"/>
    <w:rsid w:val="00D3431F"/>
    <w:rsid w:val="00D46018"/>
    <w:rsid w:val="00D47C14"/>
    <w:rsid w:val="00D53545"/>
    <w:rsid w:val="00D57D6B"/>
    <w:rsid w:val="00D9539B"/>
    <w:rsid w:val="00E02937"/>
    <w:rsid w:val="00E02A7D"/>
    <w:rsid w:val="00E26F28"/>
    <w:rsid w:val="00E27AE0"/>
    <w:rsid w:val="00E55306"/>
    <w:rsid w:val="00E63274"/>
    <w:rsid w:val="00E750D3"/>
    <w:rsid w:val="00E812BF"/>
    <w:rsid w:val="00E96B6A"/>
    <w:rsid w:val="00EB0F26"/>
    <w:rsid w:val="00EB3332"/>
    <w:rsid w:val="00EC2CB0"/>
    <w:rsid w:val="00EC3AFE"/>
    <w:rsid w:val="00ED5181"/>
    <w:rsid w:val="00F01A42"/>
    <w:rsid w:val="00F1447D"/>
    <w:rsid w:val="00F177D4"/>
    <w:rsid w:val="00F2077B"/>
    <w:rsid w:val="00F220D6"/>
    <w:rsid w:val="00F36A12"/>
    <w:rsid w:val="00F51B1C"/>
    <w:rsid w:val="00F539CC"/>
    <w:rsid w:val="00F60751"/>
    <w:rsid w:val="00F6150A"/>
    <w:rsid w:val="00F80708"/>
    <w:rsid w:val="00F86DD6"/>
    <w:rsid w:val="00F955D9"/>
    <w:rsid w:val="00FA379F"/>
    <w:rsid w:val="00FA39F2"/>
    <w:rsid w:val="00FB3CF1"/>
    <w:rsid w:val="00FC1A7F"/>
    <w:rsid w:val="00FE1FFA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E1B9"/>
  <w15:chartTrackingRefBased/>
  <w15:docId w15:val="{7B79B862-8529-4C97-A6BC-F53193F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6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B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4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D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25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7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a.gov/coalash/coal-combustion-residuals-ccr-part-implem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FD19-583A-4483-BA14-CC938B51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Cynthia</dc:creator>
  <cp:keywords/>
  <dc:description/>
  <cp:lastModifiedBy>Paronish, April M.</cp:lastModifiedBy>
  <cp:revision>2</cp:revision>
  <dcterms:created xsi:type="dcterms:W3CDTF">2022-03-25T20:19:00Z</dcterms:created>
  <dcterms:modified xsi:type="dcterms:W3CDTF">2022-03-25T20:19:00Z</dcterms:modified>
</cp:coreProperties>
</file>