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9CFB" w14:textId="77777777" w:rsidR="00836934" w:rsidRDefault="00350647" w:rsidP="00BC395C">
      <w:pPr>
        <w:spacing w:after="0"/>
        <w:jc w:val="center"/>
        <w:rPr>
          <w:b/>
        </w:rPr>
      </w:pPr>
      <w:r>
        <w:rPr>
          <w:b/>
        </w:rPr>
        <w:t xml:space="preserve">Underground Plant Protection Account </w:t>
      </w:r>
      <w:r w:rsidR="0005383A">
        <w:rPr>
          <w:b/>
        </w:rPr>
        <w:t xml:space="preserve">Grant Application </w:t>
      </w:r>
    </w:p>
    <w:p w14:paraId="161D2559" w14:textId="77777777" w:rsidR="00FC54B8" w:rsidRDefault="0005383A" w:rsidP="00BC395C">
      <w:pPr>
        <w:spacing w:after="0"/>
        <w:jc w:val="center"/>
        <w:rPr>
          <w:b/>
        </w:rPr>
      </w:pPr>
      <w:r>
        <w:rPr>
          <w:b/>
        </w:rPr>
        <w:t>Instructions</w:t>
      </w:r>
      <w:r w:rsidR="00836934">
        <w:rPr>
          <w:b/>
        </w:rPr>
        <w:t xml:space="preserve"> and Information</w:t>
      </w:r>
    </w:p>
    <w:p w14:paraId="772E8AD7" w14:textId="77777777" w:rsidR="0005383A" w:rsidRDefault="0005383A" w:rsidP="00BC7B56">
      <w:pPr>
        <w:pStyle w:val="NoSpacing"/>
      </w:pPr>
    </w:p>
    <w:p w14:paraId="4F914D32" w14:textId="77777777" w:rsidR="00770667" w:rsidRDefault="001A3638" w:rsidP="00BC7B56">
      <w:pPr>
        <w:pStyle w:val="NoSpacing"/>
      </w:pPr>
      <w:r>
        <w:t xml:space="preserve">Thank you for considering </w:t>
      </w:r>
      <w:r w:rsidR="00770667">
        <w:t xml:space="preserve">applying for </w:t>
      </w:r>
      <w:r>
        <w:t>a grant from the Indiana Utility Regulatory Commission’s (Commission) Underground Plant Protection Account (UP</w:t>
      </w:r>
      <w:r w:rsidR="00017174">
        <w:t xml:space="preserve">PA) fund. </w:t>
      </w:r>
    </w:p>
    <w:p w14:paraId="144B5102" w14:textId="77777777" w:rsidR="00770667" w:rsidRDefault="00770667" w:rsidP="00BC7B56">
      <w:pPr>
        <w:pStyle w:val="NoSpacing"/>
      </w:pPr>
    </w:p>
    <w:p w14:paraId="286F6509" w14:textId="77777777" w:rsidR="00770667" w:rsidRDefault="00017174" w:rsidP="00BC7B56">
      <w:pPr>
        <w:pStyle w:val="NoSpacing"/>
      </w:pPr>
      <w:r>
        <w:t xml:space="preserve">Please fill out all fields completely in the attached application and provide as much detail as possible, </w:t>
      </w:r>
      <w:r w:rsidR="00AD52EB">
        <w:t>particularly</w:t>
      </w:r>
      <w:r>
        <w:t xml:space="preserve"> when describing the scope of your project and the budget. </w:t>
      </w:r>
      <w:r w:rsidR="00E96733">
        <w:t>Generally, t</w:t>
      </w:r>
      <w:r>
        <w:t xml:space="preserve">he start date for any proposed event must be </w:t>
      </w:r>
      <w:r w:rsidR="00E96733">
        <w:rPr>
          <w:u w:val="single"/>
        </w:rPr>
        <w:t>at least 30 days</w:t>
      </w:r>
      <w:r w:rsidR="00E96733">
        <w:t xml:space="preserve"> </w:t>
      </w:r>
      <w:r>
        <w:t xml:space="preserve">after the date you submit the application; applications for events that </w:t>
      </w:r>
      <w:r w:rsidR="00E96733">
        <w:t xml:space="preserve">occur </w:t>
      </w:r>
      <w:r w:rsidR="001E6FC6">
        <w:t>earlier</w:t>
      </w:r>
      <w:r w:rsidR="00E96733">
        <w:t xml:space="preserve"> than this</w:t>
      </w:r>
      <w:r>
        <w:t xml:space="preserve"> </w:t>
      </w:r>
      <w:r w:rsidR="001E6FC6">
        <w:t xml:space="preserve">might </w:t>
      </w:r>
      <w:r>
        <w:t xml:space="preserve">not be approved. </w:t>
      </w:r>
    </w:p>
    <w:p w14:paraId="5483E3A8" w14:textId="77777777" w:rsidR="00770667" w:rsidRDefault="00770667" w:rsidP="00BC7B56">
      <w:pPr>
        <w:pStyle w:val="NoSpacing"/>
      </w:pPr>
    </w:p>
    <w:p w14:paraId="62C1989E" w14:textId="414CFDF5" w:rsidR="00770667" w:rsidRDefault="00017174" w:rsidP="00BC7B56">
      <w:pPr>
        <w:pStyle w:val="NoSpacing"/>
      </w:pPr>
      <w:r>
        <w:t xml:space="preserve">If you have questions about submitting your grant application, </w:t>
      </w:r>
      <w:r w:rsidR="00ED4316">
        <w:t>please contact</w:t>
      </w:r>
      <w:r>
        <w:t xml:space="preserve"> Darby Miller, UPPA Program Manager at </w:t>
      </w:r>
      <w:hyperlink r:id="rId11" w:history="1">
        <w:r w:rsidR="00AD52EB" w:rsidRPr="001F2EEE">
          <w:rPr>
            <w:rStyle w:val="Hyperlink"/>
          </w:rPr>
          <w:t>darbmiller@urc.in.gov</w:t>
        </w:r>
      </w:hyperlink>
      <w:r w:rsidR="00AD52EB">
        <w:t xml:space="preserve">. </w:t>
      </w:r>
      <w:r>
        <w:t>Legal questions may be directed</w:t>
      </w:r>
      <w:r w:rsidR="007A12AE">
        <w:t xml:space="preserve"> to the</w:t>
      </w:r>
      <w:r>
        <w:t xml:space="preserve"> </w:t>
      </w:r>
      <w:r w:rsidR="007A12AE">
        <w:t>IURC</w:t>
      </w:r>
      <w:r>
        <w:t xml:space="preserve"> General Counsel</w:t>
      </w:r>
      <w:r w:rsidR="007A12AE">
        <w:t>’s Office</w:t>
      </w:r>
      <w:r>
        <w:t xml:space="preserve"> at </w:t>
      </w:r>
      <w:hyperlink r:id="rId12" w:history="1">
        <w:r w:rsidR="007A12AE" w:rsidRPr="00186334">
          <w:rPr>
            <w:rStyle w:val="Hyperlink"/>
          </w:rPr>
          <w:t>URCGeneralCounsel@urc.in.gov</w:t>
        </w:r>
      </w:hyperlink>
      <w:r w:rsidR="007A12AE">
        <w:t xml:space="preserve">. </w:t>
      </w:r>
    </w:p>
    <w:p w14:paraId="3808D784" w14:textId="77777777" w:rsidR="00770667" w:rsidRDefault="00770667" w:rsidP="00BC7B56">
      <w:pPr>
        <w:pStyle w:val="NoSpacing"/>
      </w:pPr>
    </w:p>
    <w:p w14:paraId="4640AEEE" w14:textId="182C83B1" w:rsidR="00017174" w:rsidRDefault="00017174" w:rsidP="00BC7B56">
      <w:pPr>
        <w:pStyle w:val="NoSpacing"/>
      </w:pPr>
      <w:r w:rsidRPr="00BC7B56">
        <w:rPr>
          <w:b/>
        </w:rPr>
        <w:t xml:space="preserve">Completed applications should be emailed to </w:t>
      </w:r>
      <w:hyperlink r:id="rId13" w:history="1">
        <w:r w:rsidR="007A12AE" w:rsidRPr="00186334">
          <w:rPr>
            <w:rStyle w:val="Hyperlink"/>
            <w:b/>
          </w:rPr>
          <w:t>darbmiller@urc.in.gov</w:t>
        </w:r>
      </w:hyperlink>
      <w:r w:rsidRPr="00BC7B56">
        <w:rPr>
          <w:b/>
        </w:rPr>
        <w:t>.</w:t>
      </w:r>
      <w:r w:rsidR="007A12AE">
        <w:rPr>
          <w:b/>
        </w:rPr>
        <w:t xml:space="preserve"> </w:t>
      </w:r>
      <w:r w:rsidRPr="00BC7B56">
        <w:rPr>
          <w:b/>
        </w:rPr>
        <w:t xml:space="preserve"> </w:t>
      </w:r>
    </w:p>
    <w:p w14:paraId="3A83C158" w14:textId="77777777" w:rsidR="00017174" w:rsidRDefault="00017174" w:rsidP="00BC7B56">
      <w:pPr>
        <w:pStyle w:val="NoSpacing"/>
      </w:pPr>
    </w:p>
    <w:p w14:paraId="6B9D217C" w14:textId="77777777" w:rsidR="00017174" w:rsidRDefault="00017174" w:rsidP="00BC7B56">
      <w:pPr>
        <w:pStyle w:val="NoSpacing"/>
      </w:pPr>
      <w:r>
        <w:t xml:space="preserve">Additional guidance on filling out the budget portion of the grant application can be found </w:t>
      </w:r>
      <w:r w:rsidR="00AD52EB" w:rsidRPr="00E80F36">
        <w:t>on the next page</w:t>
      </w:r>
      <w:r w:rsidRPr="00E80F36">
        <w:t>.</w:t>
      </w:r>
      <w:r w:rsidR="00AD52EB">
        <w:t xml:space="preserve"> Frequently asked questions about the grant process can be found at </w:t>
      </w:r>
      <w:hyperlink r:id="rId14" w:history="1">
        <w:r w:rsidR="00AD52EB" w:rsidRPr="001F2EEE">
          <w:rPr>
            <w:rStyle w:val="Hyperlink"/>
          </w:rPr>
          <w:t>https://www.in.gov/iurc/2861.htm</w:t>
        </w:r>
      </w:hyperlink>
      <w:r w:rsidR="00AD52EB">
        <w:t xml:space="preserve">. </w:t>
      </w:r>
    </w:p>
    <w:p w14:paraId="061A8E0F" w14:textId="77777777" w:rsidR="00AD52EB" w:rsidRDefault="00AD52EB" w:rsidP="00BC7B56">
      <w:pPr>
        <w:pStyle w:val="NoSpacing"/>
      </w:pPr>
    </w:p>
    <w:p w14:paraId="43C87A3D" w14:textId="77777777" w:rsidR="00AD52EB" w:rsidRDefault="00AD52EB" w:rsidP="00AD52EB">
      <w:pPr>
        <w:spacing w:after="0"/>
        <w:jc w:val="center"/>
        <w:rPr>
          <w:b/>
        </w:rPr>
      </w:pPr>
      <w:r>
        <w:rPr>
          <w:b/>
        </w:rPr>
        <w:t>After Submission of Grant Application</w:t>
      </w:r>
    </w:p>
    <w:p w14:paraId="7D06571D" w14:textId="77777777" w:rsidR="00770667" w:rsidRDefault="00770667" w:rsidP="00AD52EB">
      <w:pPr>
        <w:pStyle w:val="NoSpacing"/>
      </w:pPr>
    </w:p>
    <w:p w14:paraId="7748F562" w14:textId="77777777" w:rsidR="00AD52EB" w:rsidRDefault="00AD52EB" w:rsidP="00AD52EB">
      <w:pPr>
        <w:pStyle w:val="NoSpacing"/>
      </w:pPr>
      <w:r>
        <w:t xml:space="preserve">After submission of your grant application, the Commission </w:t>
      </w:r>
      <w:r w:rsidR="00512199">
        <w:t>will</w:t>
      </w:r>
      <w:r>
        <w:t xml:space="preserve"> make every attempt to respond to the request within 30 days. Your completion of the grant application does not guarantee that the Commission </w:t>
      </w:r>
      <w:r w:rsidR="00512199">
        <w:t>will</w:t>
      </w:r>
      <w:r>
        <w:t xml:space="preserve"> award grant funds. Should the Commission </w:t>
      </w:r>
      <w:r w:rsidR="00770667">
        <w:t>award</w:t>
      </w:r>
      <w:r>
        <w:t xml:space="preserve"> a grant, it will do so in writing. Once a grant application is approved, </w:t>
      </w:r>
      <w:r w:rsidR="00512199">
        <w:t>the</w:t>
      </w:r>
      <w:r>
        <w:t xml:space="preserve"> grant </w:t>
      </w:r>
      <w:r w:rsidR="00512199">
        <w:t xml:space="preserve">agreement </w:t>
      </w:r>
      <w:r>
        <w:t xml:space="preserve">will be drafted and sent to you for review and signature. Applicants </w:t>
      </w:r>
      <w:r w:rsidR="00512199">
        <w:t>must</w:t>
      </w:r>
      <w:r>
        <w:t xml:space="preserve"> enter into a </w:t>
      </w:r>
      <w:proofErr w:type="gramStart"/>
      <w:r>
        <w:t>fully-executed</w:t>
      </w:r>
      <w:proofErr w:type="gramEnd"/>
      <w:r>
        <w:t xml:space="preserve"> grant agreement prior to the provision of UPPA funds. A sample grant agreement can be found at </w:t>
      </w:r>
      <w:hyperlink r:id="rId15" w:history="1">
        <w:r w:rsidRPr="001F2EEE">
          <w:rPr>
            <w:rStyle w:val="Hyperlink"/>
          </w:rPr>
          <w:t>http://www.in.gov/iurc/2847.htm</w:t>
        </w:r>
      </w:hyperlink>
      <w:r>
        <w:t xml:space="preserve">. </w:t>
      </w:r>
    </w:p>
    <w:p w14:paraId="44FAA890" w14:textId="77777777" w:rsidR="00AD52EB" w:rsidRDefault="00AD52EB" w:rsidP="00AD52EB">
      <w:pPr>
        <w:pStyle w:val="NoSpacing"/>
      </w:pPr>
    </w:p>
    <w:p w14:paraId="5F216ECF" w14:textId="77777777" w:rsidR="00AD52EB" w:rsidRDefault="00770667" w:rsidP="00AD52EB">
      <w:pPr>
        <w:pStyle w:val="NoSpacing"/>
      </w:pPr>
      <w:r>
        <w:t xml:space="preserve">Commission legal staff will guide the grant agreement through the State of Indiana’s approval process.  </w:t>
      </w:r>
      <w:r w:rsidR="00AD52EB">
        <w:t>All grant</w:t>
      </w:r>
      <w:r>
        <w:t xml:space="preserve"> agreements</w:t>
      </w:r>
      <w:r w:rsidR="00AD52EB">
        <w:t xml:space="preserve"> must be approved by the Indiana Department of Administration, the State Budget Agency, and the Indiana Office of Attorney General. Review times vary, but on average it takes about three weeks for grants to be electronically approved by these agencies. Hard copies are strongly discouraged and add significant delays to approval times.</w:t>
      </w:r>
    </w:p>
    <w:p w14:paraId="20A4D484" w14:textId="77777777" w:rsidR="00AD52EB" w:rsidRDefault="00AD52EB" w:rsidP="00AD52EB">
      <w:pPr>
        <w:pStyle w:val="NoSpacing"/>
      </w:pPr>
    </w:p>
    <w:p w14:paraId="6E799335" w14:textId="77777777" w:rsidR="00AD52EB" w:rsidRDefault="00AD52EB" w:rsidP="00BC7B56">
      <w:pPr>
        <w:pStyle w:val="NoSpacing"/>
      </w:pPr>
    </w:p>
    <w:p w14:paraId="49114E7E" w14:textId="77777777" w:rsidR="00AD52EB" w:rsidRDefault="00AD52EB">
      <w:r>
        <w:br w:type="page"/>
      </w:r>
    </w:p>
    <w:p w14:paraId="37FD0387" w14:textId="77777777" w:rsidR="00AD52EB" w:rsidRDefault="00AD52EB" w:rsidP="00BC7B56">
      <w:pPr>
        <w:pStyle w:val="Heading1"/>
        <w:numPr>
          <w:ilvl w:val="0"/>
          <w:numId w:val="0"/>
        </w:numPr>
      </w:pPr>
      <w:r w:rsidRPr="00AC7810">
        <w:lastRenderedPageBreak/>
        <w:t>Project Budget</w:t>
      </w:r>
      <w:r w:rsidR="007E6710">
        <w:t>:</w:t>
      </w:r>
      <w:r w:rsidRPr="00AC7810">
        <w:t xml:space="preserve"> </w:t>
      </w:r>
    </w:p>
    <w:p w14:paraId="007D1E06" w14:textId="77777777" w:rsidR="00AD52EB" w:rsidRDefault="00AD52EB" w:rsidP="00AD52EB">
      <w:pPr>
        <w:spacing w:after="0"/>
      </w:pPr>
    </w:p>
    <w:p w14:paraId="5AF586B3" w14:textId="77777777" w:rsidR="00AD52EB" w:rsidRDefault="00AD52EB" w:rsidP="00AD52EB">
      <w:pPr>
        <w:pStyle w:val="ListParagraph"/>
        <w:numPr>
          <w:ilvl w:val="0"/>
          <w:numId w:val="7"/>
        </w:numPr>
        <w:ind w:left="360"/>
        <w:contextualSpacing w:val="0"/>
      </w:pPr>
      <w:r w:rsidRPr="00DE4148">
        <w:t xml:space="preserve">Your budget should be detailed and must include a total.  </w:t>
      </w:r>
    </w:p>
    <w:p w14:paraId="183D558D" w14:textId="77777777" w:rsidR="00AD52EB" w:rsidRDefault="00AD52EB" w:rsidP="00AD52EB">
      <w:pPr>
        <w:pStyle w:val="ListParagraph"/>
        <w:numPr>
          <w:ilvl w:val="0"/>
          <w:numId w:val="7"/>
        </w:numPr>
        <w:ind w:left="360"/>
        <w:contextualSpacing w:val="0"/>
      </w:pPr>
      <w:r w:rsidRPr="00DE4148">
        <w:t>Generally, c</w:t>
      </w:r>
      <w:r w:rsidRPr="00E00ABC">
        <w:rPr>
          <w:rFonts w:eastAsia="Times New Roman"/>
        </w:rPr>
        <w:t xml:space="preserve">laims shall be submitted to the IURC within 35 calendar days following the date the services were provided and claims may be submitted </w:t>
      </w:r>
      <w:proofErr w:type="gramStart"/>
      <w:r w:rsidRPr="00E00ABC">
        <w:rPr>
          <w:rFonts w:eastAsia="Times New Roman"/>
        </w:rPr>
        <w:t>on a monthly basis</w:t>
      </w:r>
      <w:proofErr w:type="gramEnd"/>
      <w:r w:rsidRPr="00E00ABC">
        <w:rPr>
          <w:rFonts w:eastAsia="Times New Roman"/>
        </w:rPr>
        <w:t xml:space="preserve"> only.  </w:t>
      </w:r>
      <w:r w:rsidRPr="00DE4148">
        <w:t xml:space="preserve">If you are requesting payments in advance, you </w:t>
      </w:r>
      <w:r w:rsidRPr="00E00ABC">
        <w:rPr>
          <w:u w:val="single"/>
        </w:rPr>
        <w:t>must</w:t>
      </w:r>
      <w:r w:rsidRPr="00DE4148">
        <w:t xml:space="preserve"> provide the justification</w:t>
      </w:r>
      <w:r w:rsidR="00770667">
        <w:t xml:space="preserve"> for the advance</w:t>
      </w:r>
      <w:r w:rsidRPr="00DE4148">
        <w:t>.</w:t>
      </w:r>
    </w:p>
    <w:p w14:paraId="0407BCF8" w14:textId="77777777" w:rsidR="00AD52EB" w:rsidRDefault="00AD52EB" w:rsidP="00AD52EB">
      <w:pPr>
        <w:pStyle w:val="ListParagraph"/>
        <w:numPr>
          <w:ilvl w:val="0"/>
          <w:numId w:val="7"/>
        </w:numPr>
        <w:ind w:left="360"/>
        <w:contextualSpacing w:val="0"/>
      </w:pPr>
      <w:r w:rsidRPr="006721C6">
        <w:rPr>
          <w:b/>
        </w:rPr>
        <w:t>Detailed Budget and Budget Narrative:</w:t>
      </w:r>
      <w:r w:rsidRPr="006721C6">
        <w:t xml:space="preserve"> </w:t>
      </w:r>
    </w:p>
    <w:p w14:paraId="37E93928" w14:textId="77777777" w:rsidR="00AD52EB" w:rsidRDefault="00AD52EB" w:rsidP="00AD52EB">
      <w:pPr>
        <w:pStyle w:val="ListParagraph"/>
        <w:numPr>
          <w:ilvl w:val="1"/>
          <w:numId w:val="7"/>
        </w:numPr>
        <w:ind w:left="720"/>
        <w:contextualSpacing w:val="0"/>
      </w:pPr>
      <w:r w:rsidRPr="006721C6">
        <w:t>Applicants must present a detailed budget for the</w:t>
      </w:r>
      <w:r>
        <w:t xml:space="preserve"> </w:t>
      </w:r>
      <w:r w:rsidRPr="006721C6">
        <w:t xml:space="preserve">proposed project that includes both </w:t>
      </w:r>
      <w:r>
        <w:t>requested</w:t>
      </w:r>
      <w:r w:rsidRPr="006721C6">
        <w:t xml:space="preserve"> funds and </w:t>
      </w:r>
      <w:r>
        <w:t xml:space="preserve">any </w:t>
      </w:r>
      <w:r w:rsidRPr="006721C6">
        <w:t xml:space="preserve">matching funds. </w:t>
      </w:r>
    </w:p>
    <w:p w14:paraId="09427CD1" w14:textId="77777777" w:rsidR="00AD52EB" w:rsidRDefault="00AD52EB" w:rsidP="00AD52EB">
      <w:pPr>
        <w:pStyle w:val="ListParagraph"/>
        <w:numPr>
          <w:ilvl w:val="1"/>
          <w:numId w:val="7"/>
        </w:numPr>
        <w:ind w:left="720"/>
        <w:contextualSpacing w:val="0"/>
      </w:pPr>
      <w:r w:rsidRPr="006721C6">
        <w:t>Items included in</w:t>
      </w:r>
      <w:r>
        <w:t xml:space="preserve"> </w:t>
      </w:r>
      <w:r w:rsidRPr="006721C6">
        <w:t xml:space="preserve">the budget must be reasonable and necessary for the project. </w:t>
      </w:r>
    </w:p>
    <w:p w14:paraId="56BB03C3" w14:textId="77777777" w:rsidR="00AD52EB" w:rsidRPr="006721C6" w:rsidRDefault="00AD52EB" w:rsidP="00AD52EB">
      <w:pPr>
        <w:pStyle w:val="ListParagraph"/>
        <w:numPr>
          <w:ilvl w:val="1"/>
          <w:numId w:val="7"/>
        </w:numPr>
        <w:ind w:left="720"/>
        <w:contextualSpacing w:val="0"/>
      </w:pPr>
      <w:r w:rsidRPr="006721C6">
        <w:t>At a minimum, the</w:t>
      </w:r>
      <w:r>
        <w:t xml:space="preserve"> </w:t>
      </w:r>
      <w:r w:rsidRPr="006721C6">
        <w:t>budget should separate total cost of the project into the following categories</w:t>
      </w:r>
      <w:r>
        <w:t xml:space="preserve"> where possible</w:t>
      </w:r>
      <w:r w:rsidRPr="006721C6">
        <w:t>.</w:t>
      </w:r>
      <w:r>
        <w:t xml:space="preserve"> </w:t>
      </w:r>
    </w:p>
    <w:p w14:paraId="5F8C45A0" w14:textId="77777777" w:rsidR="00AD52EB" w:rsidRPr="00BF0182" w:rsidRDefault="00AD52EB" w:rsidP="00BC7B56">
      <w:r>
        <w:rPr>
          <w:b/>
        </w:rPr>
        <w:t>Budget Categories</w:t>
      </w:r>
      <w:r w:rsidR="007E6710">
        <w:rPr>
          <w:b/>
        </w:rPr>
        <w:t>:</w:t>
      </w:r>
    </w:p>
    <w:p w14:paraId="2357F9A5" w14:textId="77777777" w:rsidR="00AD52EB" w:rsidRDefault="00AD52EB" w:rsidP="00AD52EB">
      <w:pPr>
        <w:pStyle w:val="ListParagraph"/>
        <w:numPr>
          <w:ilvl w:val="1"/>
          <w:numId w:val="9"/>
        </w:numPr>
        <w:ind w:left="720"/>
        <w:contextualSpacing w:val="0"/>
      </w:pPr>
      <w:r w:rsidRPr="00B34E83">
        <w:rPr>
          <w:b/>
          <w:bCs/>
        </w:rPr>
        <w:t>Consultants/Contracts:</w:t>
      </w:r>
      <w:r w:rsidRPr="006721C6">
        <w:t xml:space="preserve"> </w:t>
      </w:r>
    </w:p>
    <w:p w14:paraId="011105B6" w14:textId="77777777" w:rsidR="00AD52EB" w:rsidRDefault="00AD52EB" w:rsidP="00AD52EB">
      <w:pPr>
        <w:pStyle w:val="ListParagraph"/>
        <w:numPr>
          <w:ilvl w:val="1"/>
          <w:numId w:val="9"/>
        </w:numPr>
        <w:ind w:left="1080"/>
        <w:contextualSpacing w:val="0"/>
      </w:pPr>
      <w:r w:rsidRPr="00B34E83">
        <w:rPr>
          <w:i/>
          <w:iCs/>
        </w:rPr>
        <w:t xml:space="preserve">Consultant Fees: </w:t>
      </w:r>
      <w:r w:rsidRPr="006721C6">
        <w:t>For each</w:t>
      </w:r>
      <w:r>
        <w:t xml:space="preserve"> </w:t>
      </w:r>
      <w:r w:rsidRPr="006721C6">
        <w:t>consultant</w:t>
      </w:r>
      <w:r w:rsidR="00627947">
        <w:t>,</w:t>
      </w:r>
      <w:r w:rsidRPr="006721C6">
        <w:t xml:space="preserve"> </w:t>
      </w:r>
      <w:r>
        <w:t>include</w:t>
      </w:r>
      <w:r w:rsidRPr="006721C6">
        <w:t xml:space="preserve"> the</w:t>
      </w:r>
      <w:r>
        <w:t xml:space="preserve"> </w:t>
      </w:r>
      <w:proofErr w:type="gramStart"/>
      <w:r>
        <w:t>consultant</w:t>
      </w:r>
      <w:proofErr w:type="gramEnd"/>
      <w:r w:rsidRPr="006721C6">
        <w:t xml:space="preserve"> name, if known,</w:t>
      </w:r>
      <w:r>
        <w:t xml:space="preserve"> service to be provided, hourly/</w:t>
      </w:r>
      <w:r w:rsidRPr="006721C6">
        <w:t xml:space="preserve">daily </w:t>
      </w:r>
      <w:r>
        <w:t>rate</w:t>
      </w:r>
      <w:r w:rsidRPr="006721C6">
        <w:t xml:space="preserve">, and the estimated time on the project. </w:t>
      </w:r>
    </w:p>
    <w:p w14:paraId="0514D7A2" w14:textId="77777777" w:rsidR="00AD52EB" w:rsidRDefault="00AD52EB" w:rsidP="00AD52EB">
      <w:pPr>
        <w:pStyle w:val="ListParagraph"/>
        <w:numPr>
          <w:ilvl w:val="1"/>
          <w:numId w:val="9"/>
        </w:numPr>
        <w:ind w:left="1080"/>
        <w:contextualSpacing w:val="0"/>
      </w:pPr>
      <w:r w:rsidRPr="00B34E83">
        <w:rPr>
          <w:i/>
          <w:iCs/>
        </w:rPr>
        <w:t xml:space="preserve">Consultant Expenses: </w:t>
      </w:r>
      <w:r w:rsidRPr="006721C6">
        <w:t>List all expenses to be paid from the grant to the individual</w:t>
      </w:r>
      <w:r>
        <w:t xml:space="preserve"> </w:t>
      </w:r>
      <w:r w:rsidRPr="006721C6">
        <w:t>consultants in addition to their fees (travel, meals, lodging, etc.).</w:t>
      </w:r>
      <w:r>
        <w:t xml:space="preserve"> </w:t>
      </w:r>
    </w:p>
    <w:p w14:paraId="0BA12465" w14:textId="77777777" w:rsidR="00AD52EB" w:rsidRPr="006721C6" w:rsidRDefault="00AD52EB" w:rsidP="00AD52EB">
      <w:pPr>
        <w:pStyle w:val="ListParagraph"/>
        <w:numPr>
          <w:ilvl w:val="1"/>
          <w:numId w:val="9"/>
        </w:numPr>
        <w:ind w:left="1080"/>
        <w:contextualSpacing w:val="0"/>
      </w:pPr>
      <w:r w:rsidRPr="00B34E83">
        <w:rPr>
          <w:i/>
          <w:iCs/>
        </w:rPr>
        <w:t xml:space="preserve">Contracts: </w:t>
      </w:r>
      <w:r w:rsidRPr="006721C6">
        <w:t>Provide a description of the product or service to be procured</w:t>
      </w:r>
      <w:r>
        <w:t xml:space="preserve"> </w:t>
      </w:r>
      <w:r w:rsidRPr="006721C6">
        <w:t>by contract and an estimate of the cost.</w:t>
      </w:r>
      <w:r w:rsidR="00D410C8">
        <w:t xml:space="preserve">  Provide a narrative describing the procurement method to be used.</w:t>
      </w:r>
      <w:r w:rsidRPr="006721C6">
        <w:t xml:space="preserve"> Applicants are encouraged to</w:t>
      </w:r>
      <w:r>
        <w:t xml:space="preserve"> </w:t>
      </w:r>
      <w:r w:rsidRPr="006721C6">
        <w:t xml:space="preserve">promote free and open competition in awarding contracts. </w:t>
      </w:r>
    </w:p>
    <w:p w14:paraId="3FFDDAB1" w14:textId="77777777" w:rsidR="00AD52EB" w:rsidRPr="006721C6" w:rsidRDefault="00AD52EB" w:rsidP="00AD52EB">
      <w:pPr>
        <w:pStyle w:val="ListParagraph"/>
        <w:numPr>
          <w:ilvl w:val="1"/>
          <w:numId w:val="9"/>
        </w:numPr>
        <w:ind w:left="720"/>
        <w:contextualSpacing w:val="0"/>
      </w:pPr>
      <w:r w:rsidRPr="00493BCC">
        <w:rPr>
          <w:b/>
          <w:bCs/>
        </w:rPr>
        <w:t xml:space="preserve">Equipment: </w:t>
      </w:r>
      <w:r w:rsidRPr="006721C6">
        <w:t>List non-expendable items that are to be purchased. Nonexpendable</w:t>
      </w:r>
      <w:r>
        <w:t xml:space="preserve"> </w:t>
      </w:r>
      <w:r w:rsidRPr="006721C6">
        <w:t xml:space="preserve">equipment is tangible property having a useful life </w:t>
      </w:r>
      <w:r>
        <w:t>after the conclusion of the proposal’s end date</w:t>
      </w:r>
      <w:r w:rsidRPr="006721C6">
        <w:t xml:space="preserve">. Expendable items should be included either in </w:t>
      </w:r>
      <w:r w:rsidR="00627947">
        <w:t xml:space="preserve">the </w:t>
      </w:r>
      <w:r w:rsidRPr="006721C6">
        <w:t>Supplies</w:t>
      </w:r>
      <w:r>
        <w:t xml:space="preserve"> category or in the </w:t>
      </w:r>
      <w:proofErr w:type="gramStart"/>
      <w:r w:rsidRPr="006721C6">
        <w:t>Other</w:t>
      </w:r>
      <w:proofErr w:type="gramEnd"/>
      <w:r w:rsidRPr="006721C6">
        <w:t xml:space="preserve"> category. Applicants should analyze the cost</w:t>
      </w:r>
      <w:r>
        <w:t xml:space="preserve"> </w:t>
      </w:r>
      <w:r w:rsidRPr="006721C6">
        <w:t xml:space="preserve">benefits of purchasing versus leasing equipment, especially </w:t>
      </w:r>
      <w:proofErr w:type="gramStart"/>
      <w:r w:rsidRPr="006721C6">
        <w:t>high cost</w:t>
      </w:r>
      <w:proofErr w:type="gramEnd"/>
      <w:r>
        <w:t xml:space="preserve"> </w:t>
      </w:r>
      <w:r w:rsidRPr="006721C6">
        <w:t>items and those subject to rapid technical advances. Rented or leased</w:t>
      </w:r>
      <w:r>
        <w:t xml:space="preserve"> </w:t>
      </w:r>
      <w:r w:rsidRPr="006721C6">
        <w:t xml:space="preserve">equipment should be </w:t>
      </w:r>
      <w:r>
        <w:t>listed in the Consultants/</w:t>
      </w:r>
      <w:r w:rsidRPr="006721C6">
        <w:t>Contract</w:t>
      </w:r>
      <w:r>
        <w:t>s</w:t>
      </w:r>
      <w:r w:rsidRPr="006721C6">
        <w:t xml:space="preserve"> category. Explain how</w:t>
      </w:r>
      <w:r>
        <w:t xml:space="preserve"> </w:t>
      </w:r>
      <w:r w:rsidRPr="006721C6">
        <w:t>the equipment is necessary for the success of the project. Attach a</w:t>
      </w:r>
      <w:r>
        <w:t xml:space="preserve"> </w:t>
      </w:r>
      <w:r w:rsidRPr="006721C6">
        <w:t>narrative describing the procurement method to be used.</w:t>
      </w:r>
    </w:p>
    <w:p w14:paraId="08BB8204" w14:textId="77777777" w:rsidR="00AD52EB" w:rsidRPr="006721C6" w:rsidRDefault="00AD52EB" w:rsidP="00AD52EB">
      <w:pPr>
        <w:pStyle w:val="ListParagraph"/>
        <w:numPr>
          <w:ilvl w:val="1"/>
          <w:numId w:val="9"/>
        </w:numPr>
        <w:ind w:left="720"/>
        <w:contextualSpacing w:val="0"/>
      </w:pPr>
      <w:r w:rsidRPr="00493BCC">
        <w:rPr>
          <w:b/>
          <w:bCs/>
        </w:rPr>
        <w:t xml:space="preserve">Personnel: </w:t>
      </w:r>
      <w:r w:rsidRPr="006721C6">
        <w:t>List each position by title and name of employee</w:t>
      </w:r>
      <w:r w:rsidR="00D410C8">
        <w:t xml:space="preserve">.  </w:t>
      </w:r>
      <w:r w:rsidR="00770667">
        <w:t>As applicable</w:t>
      </w:r>
      <w:r w:rsidRPr="006721C6">
        <w:t>,</w:t>
      </w:r>
      <w:r>
        <w:t xml:space="preserve"> s</w:t>
      </w:r>
      <w:r w:rsidRPr="006721C6">
        <w:t xml:space="preserve">how </w:t>
      </w:r>
      <w:r w:rsidR="00770667">
        <w:t xml:space="preserve">either </w:t>
      </w:r>
      <w:r w:rsidR="00D410C8">
        <w:t>the hourly wage rate</w:t>
      </w:r>
      <w:r w:rsidR="00D410C8" w:rsidRPr="006721C6">
        <w:t xml:space="preserve"> </w:t>
      </w:r>
      <w:r w:rsidR="00D410C8">
        <w:t>or</w:t>
      </w:r>
      <w:r w:rsidR="00D410C8" w:rsidRPr="006721C6">
        <w:t xml:space="preserve"> </w:t>
      </w:r>
      <w:r w:rsidRPr="006721C6">
        <w:t>the annual salary rate and the percentage of time to be devoted to</w:t>
      </w:r>
      <w:r>
        <w:t xml:space="preserve"> </w:t>
      </w:r>
      <w:r w:rsidRPr="006721C6">
        <w:t>the project</w:t>
      </w:r>
      <w:r w:rsidR="00770667">
        <w:t xml:space="preserve">, </w:t>
      </w:r>
      <w:r w:rsidR="000A12A6">
        <w:t xml:space="preserve">and </w:t>
      </w:r>
      <w:r w:rsidR="00770667">
        <w:t>includ</w:t>
      </w:r>
      <w:r w:rsidR="000A12A6">
        <w:t>e</w:t>
      </w:r>
      <w:r w:rsidR="00770667">
        <w:t xml:space="preserve"> employee benefits, if any</w:t>
      </w:r>
      <w:r w:rsidR="000A12A6">
        <w:t>, in those rates</w:t>
      </w:r>
      <w:r w:rsidRPr="006721C6">
        <w:t>. Compensation paid for employees engaged in grant activities</w:t>
      </w:r>
      <w:r>
        <w:t xml:space="preserve"> </w:t>
      </w:r>
      <w:r w:rsidRPr="006721C6">
        <w:t>must be consistent with that paid for similar work within the applicant</w:t>
      </w:r>
      <w:r>
        <w:t xml:space="preserve">’s </w:t>
      </w:r>
      <w:r w:rsidRPr="006721C6">
        <w:t>organization.</w:t>
      </w:r>
    </w:p>
    <w:p w14:paraId="1C77849C" w14:textId="77777777" w:rsidR="00AD52EB" w:rsidRPr="006721C6" w:rsidRDefault="00AD52EB" w:rsidP="00AD52EB">
      <w:pPr>
        <w:pStyle w:val="ListParagraph"/>
        <w:numPr>
          <w:ilvl w:val="1"/>
          <w:numId w:val="9"/>
        </w:numPr>
        <w:ind w:left="720"/>
        <w:contextualSpacing w:val="0"/>
      </w:pPr>
      <w:r w:rsidRPr="00493BCC">
        <w:rPr>
          <w:b/>
          <w:bCs/>
        </w:rPr>
        <w:lastRenderedPageBreak/>
        <w:t xml:space="preserve">Supplies: </w:t>
      </w:r>
      <w:r w:rsidRPr="006721C6">
        <w:t>List items by type (office supplies, postage, training materials,</w:t>
      </w:r>
      <w:r>
        <w:t xml:space="preserve"> </w:t>
      </w:r>
      <w:r w:rsidRPr="006721C6">
        <w:t>copy paper)</w:t>
      </w:r>
      <w:r>
        <w:t xml:space="preserve"> </w:t>
      </w:r>
      <w:r w:rsidRPr="006721C6">
        <w:t xml:space="preserve">and show </w:t>
      </w:r>
      <w:r>
        <w:t>how you determined your supply needs</w:t>
      </w:r>
      <w:r w:rsidRPr="006721C6">
        <w:t>. Generally, supplies include any materials that are expendable or consumed</w:t>
      </w:r>
      <w:r>
        <w:t xml:space="preserve"> </w:t>
      </w:r>
      <w:proofErr w:type="gramStart"/>
      <w:r w:rsidRPr="006721C6">
        <w:t>during the course of</w:t>
      </w:r>
      <w:proofErr w:type="gramEnd"/>
      <w:r w:rsidRPr="006721C6">
        <w:t xml:space="preserve"> the project.</w:t>
      </w:r>
      <w:r w:rsidR="00685272">
        <w:t xml:space="preserve"> Limit </w:t>
      </w:r>
      <w:r w:rsidR="00EA4187">
        <w:t xml:space="preserve">requests for </w:t>
      </w:r>
      <w:r w:rsidR="00685272">
        <w:t>expendable equipment items to $5,000</w:t>
      </w:r>
      <w:r w:rsidR="00EA4187">
        <w:t xml:space="preserve"> or provide a detailed explanation of why such equipment is necessary for the project.</w:t>
      </w:r>
    </w:p>
    <w:p w14:paraId="30270E25" w14:textId="77777777" w:rsidR="00AD52EB" w:rsidRPr="006721C6" w:rsidRDefault="00AD52EB" w:rsidP="00AD52EB">
      <w:pPr>
        <w:pStyle w:val="ListParagraph"/>
        <w:numPr>
          <w:ilvl w:val="1"/>
          <w:numId w:val="9"/>
        </w:numPr>
        <w:ind w:left="720"/>
        <w:contextualSpacing w:val="0"/>
      </w:pPr>
      <w:r w:rsidRPr="002A7396">
        <w:rPr>
          <w:b/>
          <w:bCs/>
        </w:rPr>
        <w:t xml:space="preserve">Travel Packages: </w:t>
      </w:r>
      <w:r w:rsidRPr="002A7396">
        <w:rPr>
          <w:bCs/>
        </w:rPr>
        <w:t xml:space="preserve">Itemized travel </w:t>
      </w:r>
      <w:r w:rsidR="000A12A6">
        <w:rPr>
          <w:bCs/>
        </w:rPr>
        <w:t>must</w:t>
      </w:r>
      <w:r w:rsidRPr="002A7396">
        <w:rPr>
          <w:bCs/>
        </w:rPr>
        <w:t xml:space="preserve"> be </w:t>
      </w:r>
      <w:r w:rsidR="000A12A6">
        <w:rPr>
          <w:bCs/>
        </w:rPr>
        <w:t>listed</w:t>
      </w:r>
      <w:r w:rsidRPr="002A7396">
        <w:rPr>
          <w:bCs/>
        </w:rPr>
        <w:t xml:space="preserve"> at </w:t>
      </w:r>
      <w:r w:rsidR="000A12A6">
        <w:rPr>
          <w:bCs/>
        </w:rPr>
        <w:t xml:space="preserve">the </w:t>
      </w:r>
      <w:r w:rsidRPr="002A7396">
        <w:rPr>
          <w:bCs/>
        </w:rPr>
        <w:t>travel rates</w:t>
      </w:r>
      <w:r w:rsidR="000A12A6">
        <w:rPr>
          <w:bCs/>
        </w:rPr>
        <w:t xml:space="preserve"> for State of Indiana employees</w:t>
      </w:r>
      <w:r w:rsidR="002673A9">
        <w:rPr>
          <w:bCs/>
        </w:rPr>
        <w:t xml:space="preserve"> found at </w:t>
      </w:r>
      <w:hyperlink r:id="rId16" w:history="1">
        <w:r w:rsidR="002673A9">
          <w:rPr>
            <w:rStyle w:val="Hyperlink"/>
          </w:rPr>
          <w:t>https://www.in.gov/idoa/2459.htm</w:t>
        </w:r>
      </w:hyperlink>
      <w:r w:rsidRPr="002A7396">
        <w:rPr>
          <w:bCs/>
        </w:rPr>
        <w:t xml:space="preserve">.  You may include itemized travel or travel packages, if known (ex. $300 for an overnight stay with registration). </w:t>
      </w:r>
      <w:r w:rsidRPr="006721C6">
        <w:t>Itemize travel expenses of project personnel by purpose (training,</w:t>
      </w:r>
      <w:r>
        <w:t xml:space="preserve"> </w:t>
      </w:r>
      <w:r w:rsidRPr="006721C6">
        <w:t xml:space="preserve">interviews, meetings, etc.). </w:t>
      </w:r>
    </w:p>
    <w:p w14:paraId="65566121" w14:textId="77777777" w:rsidR="00017174" w:rsidRDefault="00AD52EB" w:rsidP="0018198C">
      <w:pPr>
        <w:pStyle w:val="NoSpacing"/>
      </w:pPr>
      <w:r w:rsidRPr="00836934">
        <w:rPr>
          <w:b/>
          <w:bCs/>
        </w:rPr>
        <w:t xml:space="preserve">Other: </w:t>
      </w:r>
      <w:r w:rsidRPr="006721C6">
        <w:t>List items (rent, reproduction, telephone, janitorial or security</w:t>
      </w:r>
      <w:r>
        <w:t xml:space="preserve"> </w:t>
      </w:r>
      <w:r w:rsidRPr="006721C6">
        <w:t xml:space="preserve">services, etc.) by major type and </w:t>
      </w:r>
      <w:r>
        <w:t>how the costs were determined</w:t>
      </w:r>
      <w:r w:rsidRPr="006721C6">
        <w:t>. For</w:t>
      </w:r>
      <w:r>
        <w:t xml:space="preserve"> </w:t>
      </w:r>
      <w:r w:rsidRPr="006721C6">
        <w:t>example, provide the square footage and the cost per square foot for rent.</w:t>
      </w:r>
    </w:p>
    <w:p w14:paraId="3DD917F7" w14:textId="77777777" w:rsidR="00AD52EB" w:rsidRDefault="00AD52EB" w:rsidP="0018198C">
      <w:pPr>
        <w:pStyle w:val="NoSpacing"/>
      </w:pPr>
    </w:p>
    <w:p w14:paraId="4C792490" w14:textId="77777777" w:rsidR="00AD52EB" w:rsidRDefault="009E28B3" w:rsidP="00AD52EB">
      <w:pPr>
        <w:spacing w:after="0"/>
        <w:jc w:val="center"/>
        <w:rPr>
          <w:b/>
        </w:rPr>
      </w:pPr>
      <w:r>
        <w:rPr>
          <w:b/>
        </w:rPr>
        <w:t>Requesting Grant Payments</w:t>
      </w:r>
    </w:p>
    <w:p w14:paraId="5E7C8D3D" w14:textId="77777777" w:rsidR="009E28B3" w:rsidRDefault="009E28B3" w:rsidP="00AD52EB">
      <w:pPr>
        <w:spacing w:after="0"/>
        <w:jc w:val="center"/>
        <w:rPr>
          <w:b/>
        </w:rPr>
      </w:pPr>
    </w:p>
    <w:p w14:paraId="6B4350B2" w14:textId="77777777" w:rsidR="009E28B3" w:rsidRDefault="009E28B3" w:rsidP="009E28B3">
      <w:pPr>
        <w:pStyle w:val="NoSpacing"/>
      </w:pPr>
      <w:r>
        <w:t xml:space="preserve">Following approval of the grant agreement, </w:t>
      </w:r>
      <w:proofErr w:type="gramStart"/>
      <w:r>
        <w:t>in order to</w:t>
      </w:r>
      <w:proofErr w:type="gramEnd"/>
      <w:r>
        <w:t xml:space="preserve"> receive grant funds, you must submit a request for payment. Please submit requests for grant payments</w:t>
      </w:r>
      <w:r w:rsidR="00E96733">
        <w:t xml:space="preserve"> to Darby Miller via email to </w:t>
      </w:r>
      <w:hyperlink r:id="rId17" w:history="1">
        <w:r w:rsidR="00E96733" w:rsidRPr="001F2EEE">
          <w:rPr>
            <w:rStyle w:val="Hyperlink"/>
          </w:rPr>
          <w:t>darbmiller@urc.in.gov</w:t>
        </w:r>
      </w:hyperlink>
      <w:r>
        <w:t xml:space="preserve"> </w:t>
      </w:r>
      <w:r w:rsidR="00E96733">
        <w:t>or by mail to the following address:</w:t>
      </w:r>
    </w:p>
    <w:p w14:paraId="107BC051" w14:textId="77777777" w:rsidR="00E96733" w:rsidRDefault="00E96733" w:rsidP="009E28B3">
      <w:pPr>
        <w:pStyle w:val="NoSpacing"/>
      </w:pPr>
    </w:p>
    <w:p w14:paraId="768D9C71" w14:textId="77777777" w:rsidR="00E96733" w:rsidRDefault="00E96733" w:rsidP="009E28B3">
      <w:pPr>
        <w:pStyle w:val="NoSpacing"/>
      </w:pPr>
      <w:r>
        <w:t>Attn.: Darby Miller</w:t>
      </w:r>
    </w:p>
    <w:p w14:paraId="31B7A405" w14:textId="77777777" w:rsidR="00E96733" w:rsidRDefault="00E96733" w:rsidP="009E28B3">
      <w:pPr>
        <w:pStyle w:val="NoSpacing"/>
      </w:pPr>
      <w:r>
        <w:t>Indiana Utility Regulatory Commission</w:t>
      </w:r>
    </w:p>
    <w:p w14:paraId="6D1C2F27" w14:textId="77777777" w:rsidR="00AB732F" w:rsidRDefault="00E96733" w:rsidP="009E28B3">
      <w:pPr>
        <w:pStyle w:val="NoSpacing"/>
      </w:pPr>
      <w:r>
        <w:t xml:space="preserve">101 West </w:t>
      </w:r>
      <w:r w:rsidR="00AB732F">
        <w:t>Washington Street</w:t>
      </w:r>
      <w:r>
        <w:t>,</w:t>
      </w:r>
      <w:r w:rsidR="00AB732F">
        <w:t xml:space="preserve"> Suite 1500 E</w:t>
      </w:r>
    </w:p>
    <w:p w14:paraId="6D49D51D" w14:textId="77777777" w:rsidR="00E96733" w:rsidRDefault="00AB732F" w:rsidP="009E28B3">
      <w:pPr>
        <w:pStyle w:val="NoSpacing"/>
      </w:pPr>
      <w:r>
        <w:t>Indianapolis, IN 46204</w:t>
      </w:r>
      <w:r w:rsidR="00E96733">
        <w:t xml:space="preserve"> </w:t>
      </w:r>
    </w:p>
    <w:p w14:paraId="4481B3BE" w14:textId="77777777" w:rsidR="009E28B3" w:rsidRDefault="009E28B3" w:rsidP="009E28B3">
      <w:pPr>
        <w:pStyle w:val="NoSpacing"/>
      </w:pPr>
    </w:p>
    <w:p w14:paraId="3ED963C1" w14:textId="77777777" w:rsidR="00B45D8C" w:rsidRDefault="009E28B3" w:rsidP="009E28B3">
      <w:pPr>
        <w:pStyle w:val="NoSpacing"/>
      </w:pPr>
      <w:r>
        <w:t xml:space="preserve">Generally, grantees will submit an invoice or a request on company letterhead. At minimum, the invoice/request for payment must include </w:t>
      </w:r>
      <w:r w:rsidR="00B45D8C">
        <w:t>the following:</w:t>
      </w:r>
    </w:p>
    <w:p w14:paraId="34D4B3E3" w14:textId="77777777" w:rsidR="00B45D8C" w:rsidRDefault="00B45D8C" w:rsidP="0018198C">
      <w:pPr>
        <w:pStyle w:val="NoSpacing"/>
        <w:numPr>
          <w:ilvl w:val="0"/>
          <w:numId w:val="12"/>
        </w:numPr>
      </w:pPr>
      <w:r>
        <w:t>Contract ID # (found at the top of the front page of the grant)</w:t>
      </w:r>
    </w:p>
    <w:p w14:paraId="5F05DDF6" w14:textId="77777777" w:rsidR="00B45D8C" w:rsidRDefault="00B45D8C" w:rsidP="0018198C">
      <w:pPr>
        <w:pStyle w:val="NoSpacing"/>
        <w:numPr>
          <w:ilvl w:val="0"/>
          <w:numId w:val="12"/>
        </w:numPr>
      </w:pPr>
      <w:r>
        <w:t>C</w:t>
      </w:r>
      <w:r w:rsidR="009E28B3">
        <w:t>ompany name</w:t>
      </w:r>
    </w:p>
    <w:p w14:paraId="7F20FFAE" w14:textId="77777777" w:rsidR="00B45D8C" w:rsidRDefault="00B45D8C" w:rsidP="0018198C">
      <w:pPr>
        <w:pStyle w:val="NoSpacing"/>
        <w:numPr>
          <w:ilvl w:val="0"/>
          <w:numId w:val="12"/>
        </w:numPr>
      </w:pPr>
      <w:r>
        <w:t>Name, phone number, and email address for a person who can answer possible questions</w:t>
      </w:r>
    </w:p>
    <w:p w14:paraId="2FFDA3D5" w14:textId="77777777" w:rsidR="00B45D8C" w:rsidRDefault="00B45D8C" w:rsidP="0018198C">
      <w:pPr>
        <w:pStyle w:val="NoSpacing"/>
        <w:numPr>
          <w:ilvl w:val="0"/>
          <w:numId w:val="12"/>
        </w:numPr>
      </w:pPr>
      <w:r>
        <w:t>A</w:t>
      </w:r>
      <w:r w:rsidR="009E28B3">
        <w:t>mount requested</w:t>
      </w:r>
    </w:p>
    <w:p w14:paraId="3082F254" w14:textId="77777777" w:rsidR="00B45D8C" w:rsidRDefault="00B45D8C" w:rsidP="0018198C">
      <w:pPr>
        <w:pStyle w:val="NoSpacing"/>
        <w:numPr>
          <w:ilvl w:val="0"/>
          <w:numId w:val="12"/>
        </w:numPr>
      </w:pPr>
      <w:r>
        <w:t>A</w:t>
      </w:r>
      <w:r w:rsidR="009E28B3">
        <w:t xml:space="preserve"> description of what the payment covers. </w:t>
      </w:r>
    </w:p>
    <w:p w14:paraId="2A975317" w14:textId="77777777" w:rsidR="00B45D8C" w:rsidRDefault="00B45D8C" w:rsidP="00E80F36">
      <w:pPr>
        <w:pStyle w:val="NoSpacing"/>
      </w:pPr>
    </w:p>
    <w:p w14:paraId="0A5B5347" w14:textId="77777777" w:rsidR="009E28B3" w:rsidRDefault="009E28B3" w:rsidP="002673A9">
      <w:pPr>
        <w:pStyle w:val="NoSpacing"/>
      </w:pPr>
      <w:r>
        <w:t>Please turn in invoices timely. By state statute, the Indiana Auditor of State does not pay invoices until, at least, 35 days after submission.</w:t>
      </w:r>
    </w:p>
    <w:p w14:paraId="6C968DED" w14:textId="77777777" w:rsidR="00DF6D52" w:rsidRPr="00CA435A" w:rsidRDefault="00DF6D52" w:rsidP="00350647">
      <w:pPr>
        <w:rPr>
          <w:b/>
        </w:rPr>
      </w:pPr>
    </w:p>
    <w:sectPr w:rsidR="00DF6D52" w:rsidRPr="00CA435A" w:rsidSect="00A26BED">
      <w:headerReference w:type="even" r:id="rId18"/>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C1A9" w14:textId="77777777" w:rsidR="00464F9E" w:rsidRDefault="00464F9E" w:rsidP="00FC54B8">
      <w:pPr>
        <w:spacing w:after="0" w:line="240" w:lineRule="auto"/>
      </w:pPr>
      <w:r>
        <w:separator/>
      </w:r>
    </w:p>
  </w:endnote>
  <w:endnote w:type="continuationSeparator" w:id="0">
    <w:p w14:paraId="1DAB9CDA" w14:textId="77777777" w:rsidR="00464F9E" w:rsidRDefault="00464F9E" w:rsidP="00FC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3441" w14:textId="77777777" w:rsidR="006A137E" w:rsidRPr="0005383A" w:rsidRDefault="006A137E" w:rsidP="00355E2D">
    <w:pPr>
      <w:pStyle w:val="Footer"/>
      <w:jc w:val="center"/>
    </w:pPr>
    <w:r w:rsidRPr="0005383A">
      <w:t xml:space="preserve">Page </w:t>
    </w:r>
    <w:r w:rsidRPr="0005383A">
      <w:rPr>
        <w:bCs/>
      </w:rPr>
      <w:fldChar w:fldCharType="begin"/>
    </w:r>
    <w:r w:rsidRPr="0005383A">
      <w:rPr>
        <w:bCs/>
      </w:rPr>
      <w:instrText xml:space="preserve"> PAGE  \* Arabic  \* MERGEFORMAT </w:instrText>
    </w:r>
    <w:r w:rsidRPr="0005383A">
      <w:rPr>
        <w:bCs/>
      </w:rPr>
      <w:fldChar w:fldCharType="separate"/>
    </w:r>
    <w:r w:rsidR="00DC6341">
      <w:rPr>
        <w:bCs/>
        <w:noProof/>
      </w:rPr>
      <w:t>3</w:t>
    </w:r>
    <w:r w:rsidRPr="0005383A">
      <w:rPr>
        <w:bCs/>
      </w:rPr>
      <w:fldChar w:fldCharType="end"/>
    </w:r>
  </w:p>
  <w:p w14:paraId="0565813A" w14:textId="77777777" w:rsidR="006A137E" w:rsidRDefault="006A1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8BD0" w14:textId="77777777" w:rsidR="00FC54B8" w:rsidRPr="0005383A" w:rsidRDefault="0005383A" w:rsidP="0005383A">
    <w:pPr>
      <w:pStyle w:val="Footer"/>
      <w:jc w:val="center"/>
    </w:pPr>
    <w:r w:rsidRPr="0005383A">
      <w:t xml:space="preserve">Page </w:t>
    </w:r>
    <w:r w:rsidRPr="0005383A">
      <w:rPr>
        <w:bCs/>
      </w:rPr>
      <w:fldChar w:fldCharType="begin"/>
    </w:r>
    <w:r w:rsidRPr="0005383A">
      <w:rPr>
        <w:bCs/>
      </w:rPr>
      <w:instrText xml:space="preserve"> PAGE  \* Arabic  \* MERGEFORMAT </w:instrText>
    </w:r>
    <w:r w:rsidRPr="0005383A">
      <w:rPr>
        <w:bCs/>
      </w:rPr>
      <w:fldChar w:fldCharType="separate"/>
    </w:r>
    <w:r w:rsidR="006A137E">
      <w:rPr>
        <w:bCs/>
        <w:noProof/>
      </w:rPr>
      <w:t>1</w:t>
    </w:r>
    <w:r w:rsidRPr="0005383A">
      <w:rPr>
        <w:bCs/>
      </w:rPr>
      <w:fldChar w:fldCharType="end"/>
    </w:r>
    <w:r w:rsidRPr="0005383A">
      <w:t xml:space="preserve"> of </w:t>
    </w:r>
    <w:r w:rsidR="00DE4148">
      <w:t xml:space="preserve"> </w:t>
    </w:r>
    <w:sdt>
      <w:sdtPr>
        <w:id w:val="1298568308"/>
        <w:placeholder>
          <w:docPart w:val="DefaultPlaceholder_1081868574"/>
        </w:placeholder>
        <w:showingPlcHdr/>
      </w:sdtPr>
      <w:sdtEndPr/>
      <w:sdtContent>
        <w:r w:rsidR="00DE4148" w:rsidRPr="00A878BF">
          <w:rPr>
            <w:rStyle w:val="PlaceholderText"/>
          </w:rPr>
          <w:t>Click here to enter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D6A33" w14:textId="77777777" w:rsidR="00464F9E" w:rsidRDefault="00464F9E" w:rsidP="00FC54B8">
      <w:pPr>
        <w:spacing w:after="0" w:line="240" w:lineRule="auto"/>
      </w:pPr>
      <w:r>
        <w:separator/>
      </w:r>
    </w:p>
  </w:footnote>
  <w:footnote w:type="continuationSeparator" w:id="0">
    <w:p w14:paraId="0471198B" w14:textId="77777777" w:rsidR="00464F9E" w:rsidRDefault="00464F9E" w:rsidP="00FC5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90BA" w14:textId="77777777" w:rsidR="00402F4D" w:rsidRDefault="00402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BC00" w14:textId="77777777" w:rsidR="00402F4D" w:rsidRDefault="00402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F889" w14:textId="77777777" w:rsidR="00402F4D" w:rsidRDefault="00402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9C1"/>
    <w:multiLevelType w:val="hybridMultilevel"/>
    <w:tmpl w:val="6E1454EA"/>
    <w:lvl w:ilvl="0" w:tplc="27A0A33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46C4E"/>
    <w:multiLevelType w:val="hybridMultilevel"/>
    <w:tmpl w:val="69AEAF28"/>
    <w:lvl w:ilvl="0" w:tplc="72B4D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E11D7"/>
    <w:multiLevelType w:val="hybridMultilevel"/>
    <w:tmpl w:val="24F07580"/>
    <w:lvl w:ilvl="0" w:tplc="8C5AF2B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D27C1"/>
    <w:multiLevelType w:val="hybridMultilevel"/>
    <w:tmpl w:val="812AABEA"/>
    <w:lvl w:ilvl="0" w:tplc="1C58AF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07E1A"/>
    <w:multiLevelType w:val="hybridMultilevel"/>
    <w:tmpl w:val="01DA4482"/>
    <w:lvl w:ilvl="0" w:tplc="1C58AF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A4E8E"/>
    <w:multiLevelType w:val="hybridMultilevel"/>
    <w:tmpl w:val="E384D9EE"/>
    <w:lvl w:ilvl="0" w:tplc="1C58AF1A">
      <w:start w:val="1"/>
      <w:numFmt w:val="bullet"/>
      <w:lvlText w:val=""/>
      <w:lvlJc w:val="left"/>
      <w:pPr>
        <w:ind w:left="720" w:hanging="360"/>
      </w:pPr>
      <w:rPr>
        <w:rFonts w:ascii="Wingdings" w:hAnsi="Wingdings" w:hint="default"/>
      </w:rPr>
    </w:lvl>
    <w:lvl w:ilvl="1" w:tplc="1C58AF1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22279"/>
    <w:multiLevelType w:val="hybridMultilevel"/>
    <w:tmpl w:val="342AB8A2"/>
    <w:lvl w:ilvl="0" w:tplc="8C5AF2B2">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A62B0"/>
    <w:multiLevelType w:val="hybridMultilevel"/>
    <w:tmpl w:val="AEE2C69E"/>
    <w:lvl w:ilvl="0" w:tplc="1C58AF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F2A57"/>
    <w:multiLevelType w:val="hybridMultilevel"/>
    <w:tmpl w:val="F5B6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1615C4"/>
    <w:multiLevelType w:val="hybridMultilevel"/>
    <w:tmpl w:val="5DC4946A"/>
    <w:lvl w:ilvl="0" w:tplc="F1249AE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48259B"/>
    <w:multiLevelType w:val="hybridMultilevel"/>
    <w:tmpl w:val="B6624016"/>
    <w:lvl w:ilvl="0" w:tplc="8C5AF2B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71D7D"/>
    <w:multiLevelType w:val="hybridMultilevel"/>
    <w:tmpl w:val="DAF4656A"/>
    <w:lvl w:ilvl="0" w:tplc="72B4D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6"/>
  </w:num>
  <w:num w:numId="5">
    <w:abstractNumId w:val="10"/>
  </w:num>
  <w:num w:numId="6">
    <w:abstractNumId w:val="2"/>
  </w:num>
  <w:num w:numId="7">
    <w:abstractNumId w:val="5"/>
  </w:num>
  <w:num w:numId="8">
    <w:abstractNumId w:val="7"/>
  </w:num>
  <w:num w:numId="9">
    <w:abstractNumId w:val="4"/>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498"/>
    <w:rsid w:val="00017174"/>
    <w:rsid w:val="0005383A"/>
    <w:rsid w:val="00063A1E"/>
    <w:rsid w:val="000835F8"/>
    <w:rsid w:val="000A12A6"/>
    <w:rsid w:val="000A185D"/>
    <w:rsid w:val="000C2476"/>
    <w:rsid w:val="00104192"/>
    <w:rsid w:val="0018198C"/>
    <w:rsid w:val="001A3638"/>
    <w:rsid w:val="001C3272"/>
    <w:rsid w:val="001E6FC6"/>
    <w:rsid w:val="001E7DB1"/>
    <w:rsid w:val="001F0532"/>
    <w:rsid w:val="0022581E"/>
    <w:rsid w:val="0023246A"/>
    <w:rsid w:val="002364F0"/>
    <w:rsid w:val="00240518"/>
    <w:rsid w:val="002673A9"/>
    <w:rsid w:val="002725F6"/>
    <w:rsid w:val="00297AA6"/>
    <w:rsid w:val="002A7396"/>
    <w:rsid w:val="002C0621"/>
    <w:rsid w:val="002C1913"/>
    <w:rsid w:val="002C6F35"/>
    <w:rsid w:val="002C7A65"/>
    <w:rsid w:val="003036FA"/>
    <w:rsid w:val="0030593A"/>
    <w:rsid w:val="00350647"/>
    <w:rsid w:val="00355E2D"/>
    <w:rsid w:val="00380DAA"/>
    <w:rsid w:val="003C6DF6"/>
    <w:rsid w:val="003F4537"/>
    <w:rsid w:val="00402F4D"/>
    <w:rsid w:val="00422498"/>
    <w:rsid w:val="00440B04"/>
    <w:rsid w:val="004504D2"/>
    <w:rsid w:val="00450C4D"/>
    <w:rsid w:val="00464F9E"/>
    <w:rsid w:val="00493BCC"/>
    <w:rsid w:val="00512199"/>
    <w:rsid w:val="00520273"/>
    <w:rsid w:val="00546D90"/>
    <w:rsid w:val="005676CF"/>
    <w:rsid w:val="00582573"/>
    <w:rsid w:val="005865FB"/>
    <w:rsid w:val="00593BD6"/>
    <w:rsid w:val="006000F6"/>
    <w:rsid w:val="00627947"/>
    <w:rsid w:val="00685272"/>
    <w:rsid w:val="006A137E"/>
    <w:rsid w:val="006D6E91"/>
    <w:rsid w:val="006E1792"/>
    <w:rsid w:val="006E496F"/>
    <w:rsid w:val="00712E72"/>
    <w:rsid w:val="007257C5"/>
    <w:rsid w:val="00727885"/>
    <w:rsid w:val="00742EC2"/>
    <w:rsid w:val="00770667"/>
    <w:rsid w:val="00773D15"/>
    <w:rsid w:val="007A07EC"/>
    <w:rsid w:val="007A12AE"/>
    <w:rsid w:val="007B7209"/>
    <w:rsid w:val="007C5B9E"/>
    <w:rsid w:val="007D02C8"/>
    <w:rsid w:val="007D5940"/>
    <w:rsid w:val="007E52EA"/>
    <w:rsid w:val="007E6710"/>
    <w:rsid w:val="00816D80"/>
    <w:rsid w:val="00836934"/>
    <w:rsid w:val="00895040"/>
    <w:rsid w:val="008D1CCF"/>
    <w:rsid w:val="008F02FB"/>
    <w:rsid w:val="00930EC6"/>
    <w:rsid w:val="00942478"/>
    <w:rsid w:val="009815E1"/>
    <w:rsid w:val="009C6AA5"/>
    <w:rsid w:val="009E28B3"/>
    <w:rsid w:val="009E61DB"/>
    <w:rsid w:val="009F1CEF"/>
    <w:rsid w:val="00A13383"/>
    <w:rsid w:val="00A26BED"/>
    <w:rsid w:val="00A31F73"/>
    <w:rsid w:val="00A35EC9"/>
    <w:rsid w:val="00A51B9E"/>
    <w:rsid w:val="00A53D8B"/>
    <w:rsid w:val="00A54414"/>
    <w:rsid w:val="00A56AD4"/>
    <w:rsid w:val="00A834AE"/>
    <w:rsid w:val="00AB732F"/>
    <w:rsid w:val="00AC7810"/>
    <w:rsid w:val="00AD023F"/>
    <w:rsid w:val="00AD52EB"/>
    <w:rsid w:val="00B24DB8"/>
    <w:rsid w:val="00B26D75"/>
    <w:rsid w:val="00B41BD7"/>
    <w:rsid w:val="00B44D3A"/>
    <w:rsid w:val="00B45D8C"/>
    <w:rsid w:val="00B504C3"/>
    <w:rsid w:val="00B57F3A"/>
    <w:rsid w:val="00B65EC6"/>
    <w:rsid w:val="00B80261"/>
    <w:rsid w:val="00BC17AA"/>
    <w:rsid w:val="00BC395C"/>
    <w:rsid w:val="00BC7B56"/>
    <w:rsid w:val="00BF5BFD"/>
    <w:rsid w:val="00C01EC6"/>
    <w:rsid w:val="00C20455"/>
    <w:rsid w:val="00C44BB7"/>
    <w:rsid w:val="00C95D1D"/>
    <w:rsid w:val="00CA435A"/>
    <w:rsid w:val="00D26595"/>
    <w:rsid w:val="00D32A47"/>
    <w:rsid w:val="00D36210"/>
    <w:rsid w:val="00D410C8"/>
    <w:rsid w:val="00D444E3"/>
    <w:rsid w:val="00D926C2"/>
    <w:rsid w:val="00DB5633"/>
    <w:rsid w:val="00DB6AF3"/>
    <w:rsid w:val="00DC6341"/>
    <w:rsid w:val="00DC79EA"/>
    <w:rsid w:val="00DD0FB1"/>
    <w:rsid w:val="00DE4148"/>
    <w:rsid w:val="00DF6D52"/>
    <w:rsid w:val="00E00ABC"/>
    <w:rsid w:val="00E23637"/>
    <w:rsid w:val="00E778E3"/>
    <w:rsid w:val="00E80F36"/>
    <w:rsid w:val="00E96733"/>
    <w:rsid w:val="00EA062B"/>
    <w:rsid w:val="00EA4187"/>
    <w:rsid w:val="00EB0122"/>
    <w:rsid w:val="00EB1684"/>
    <w:rsid w:val="00EB7382"/>
    <w:rsid w:val="00ED072D"/>
    <w:rsid w:val="00ED4316"/>
    <w:rsid w:val="00EE1929"/>
    <w:rsid w:val="00EF7B7F"/>
    <w:rsid w:val="00F24F25"/>
    <w:rsid w:val="00F3335F"/>
    <w:rsid w:val="00FC54B8"/>
    <w:rsid w:val="00FE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C66D0"/>
  <w15:chartTrackingRefBased/>
  <w15:docId w15:val="{0D035071-4830-44B5-AC5C-207869FA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5C"/>
    <w:rPr>
      <w:rFonts w:ascii="Times New Roman" w:hAnsi="Times New Roman" w:cs="Times New Roman"/>
      <w:sz w:val="24"/>
      <w:szCs w:val="24"/>
    </w:rPr>
  </w:style>
  <w:style w:type="paragraph" w:styleId="Heading1">
    <w:name w:val="heading 1"/>
    <w:basedOn w:val="Normal"/>
    <w:next w:val="Normal"/>
    <w:link w:val="Heading1Char"/>
    <w:uiPriority w:val="9"/>
    <w:qFormat/>
    <w:rsid w:val="00350647"/>
    <w:pPr>
      <w:keepNext/>
      <w:keepLines/>
      <w:numPr>
        <w:numId w:val="11"/>
      </w:numPr>
      <w:spacing w:before="320" w:after="0"/>
      <w:ind w:hanging="720"/>
      <w:outlineLvl w:val="0"/>
    </w:pPr>
    <w:rPr>
      <w:rFonts w:eastAsiaTheme="majorEastAsia"/>
      <w:b/>
      <w:color w:val="000000" w:themeColor="text1"/>
    </w:rPr>
  </w:style>
  <w:style w:type="paragraph" w:styleId="Heading2">
    <w:name w:val="heading 2"/>
    <w:basedOn w:val="Normal"/>
    <w:next w:val="Normal"/>
    <w:link w:val="Heading2Char"/>
    <w:uiPriority w:val="9"/>
    <w:unhideWhenUsed/>
    <w:qFormat/>
    <w:rsid w:val="00BC39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647"/>
    <w:rPr>
      <w:rFonts w:ascii="Times New Roman" w:eastAsiaTheme="majorEastAsia" w:hAnsi="Times New Roman" w:cs="Times New Roman"/>
      <w:b/>
      <w:color w:val="000000" w:themeColor="text1"/>
      <w:sz w:val="24"/>
      <w:szCs w:val="24"/>
    </w:rPr>
  </w:style>
  <w:style w:type="character" w:styleId="CommentReference">
    <w:name w:val="annotation reference"/>
    <w:basedOn w:val="DefaultParagraphFont"/>
    <w:uiPriority w:val="99"/>
    <w:semiHidden/>
    <w:unhideWhenUsed/>
    <w:rsid w:val="00DF6D52"/>
    <w:rPr>
      <w:sz w:val="16"/>
      <w:szCs w:val="16"/>
    </w:rPr>
  </w:style>
  <w:style w:type="paragraph" w:styleId="CommentText">
    <w:name w:val="annotation text"/>
    <w:basedOn w:val="Normal"/>
    <w:link w:val="CommentTextChar"/>
    <w:uiPriority w:val="99"/>
    <w:unhideWhenUsed/>
    <w:rsid w:val="00DF6D52"/>
    <w:rPr>
      <w:sz w:val="20"/>
      <w:szCs w:val="20"/>
    </w:rPr>
  </w:style>
  <w:style w:type="character" w:customStyle="1" w:styleId="CommentTextChar">
    <w:name w:val="Comment Text Char"/>
    <w:basedOn w:val="DefaultParagraphFont"/>
    <w:link w:val="CommentText"/>
    <w:uiPriority w:val="99"/>
    <w:rsid w:val="00DF6D5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6D52"/>
    <w:rPr>
      <w:b/>
      <w:bCs/>
    </w:rPr>
  </w:style>
  <w:style w:type="character" w:customStyle="1" w:styleId="CommentSubjectChar">
    <w:name w:val="Comment Subject Char"/>
    <w:basedOn w:val="CommentTextChar"/>
    <w:link w:val="CommentSubject"/>
    <w:uiPriority w:val="99"/>
    <w:semiHidden/>
    <w:rsid w:val="00DF6D5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F6D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52"/>
    <w:rPr>
      <w:rFonts w:ascii="Segoe UI" w:hAnsi="Segoe UI" w:cs="Segoe UI"/>
      <w:sz w:val="18"/>
      <w:szCs w:val="18"/>
    </w:rPr>
  </w:style>
  <w:style w:type="table" w:styleId="TableGrid">
    <w:name w:val="Table Grid"/>
    <w:basedOn w:val="TableNormal"/>
    <w:uiPriority w:val="39"/>
    <w:rsid w:val="00DF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C395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41BD7"/>
    <w:pPr>
      <w:ind w:left="720"/>
      <w:contextualSpacing/>
    </w:pPr>
  </w:style>
  <w:style w:type="paragraph" w:styleId="Header">
    <w:name w:val="header"/>
    <w:basedOn w:val="Normal"/>
    <w:link w:val="HeaderChar"/>
    <w:uiPriority w:val="99"/>
    <w:unhideWhenUsed/>
    <w:rsid w:val="00FC5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4B8"/>
    <w:rPr>
      <w:rFonts w:ascii="Times New Roman" w:hAnsi="Times New Roman" w:cs="Times New Roman"/>
      <w:sz w:val="24"/>
      <w:szCs w:val="24"/>
    </w:rPr>
  </w:style>
  <w:style w:type="paragraph" w:styleId="Footer">
    <w:name w:val="footer"/>
    <w:basedOn w:val="Normal"/>
    <w:link w:val="FooterChar"/>
    <w:uiPriority w:val="99"/>
    <w:unhideWhenUsed/>
    <w:rsid w:val="00FC5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4B8"/>
    <w:rPr>
      <w:rFonts w:ascii="Times New Roman" w:hAnsi="Times New Roman" w:cs="Times New Roman"/>
      <w:sz w:val="24"/>
      <w:szCs w:val="24"/>
    </w:rPr>
  </w:style>
  <w:style w:type="character" w:styleId="Hyperlink">
    <w:name w:val="Hyperlink"/>
    <w:basedOn w:val="DefaultParagraphFont"/>
    <w:uiPriority w:val="99"/>
    <w:unhideWhenUsed/>
    <w:rsid w:val="0005383A"/>
    <w:rPr>
      <w:color w:val="0563C1" w:themeColor="hyperlink"/>
      <w:u w:val="single"/>
    </w:rPr>
  </w:style>
  <w:style w:type="character" w:styleId="PlaceholderText">
    <w:name w:val="Placeholder Text"/>
    <w:basedOn w:val="DefaultParagraphFont"/>
    <w:uiPriority w:val="99"/>
    <w:semiHidden/>
    <w:rsid w:val="0005383A"/>
    <w:rPr>
      <w:color w:val="808080"/>
    </w:rPr>
  </w:style>
  <w:style w:type="paragraph" w:styleId="NoSpacing">
    <w:name w:val="No Spacing"/>
    <w:uiPriority w:val="1"/>
    <w:qFormat/>
    <w:rsid w:val="001A3638"/>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7A1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42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rbmiller@urc.in.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URCGeneralCounsel@urc.in.gov" TargetMode="External"/><Relationship Id="rId17" Type="http://schemas.openxmlformats.org/officeDocument/2006/relationships/hyperlink" Target="mailto:darbmiller@urc.in.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gov/idoa/2459.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rbmiller@urc.in.gov"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in.gov/iurc/2847.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gov/iurc/2861.htm"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F6AB35D-6475-46E6-98E9-79614B601A87}"/>
      </w:docPartPr>
      <w:docPartBody>
        <w:p w:rsidR="00F8701C" w:rsidRDefault="00111248">
          <w:r w:rsidRPr="00A878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248"/>
    <w:rsid w:val="0008188A"/>
    <w:rsid w:val="000E17D2"/>
    <w:rsid w:val="000F3A1F"/>
    <w:rsid w:val="00111248"/>
    <w:rsid w:val="00180877"/>
    <w:rsid w:val="001D3034"/>
    <w:rsid w:val="00224A54"/>
    <w:rsid w:val="00273550"/>
    <w:rsid w:val="003061D1"/>
    <w:rsid w:val="00422F22"/>
    <w:rsid w:val="00443C82"/>
    <w:rsid w:val="004B23C4"/>
    <w:rsid w:val="007F4F2D"/>
    <w:rsid w:val="008464C6"/>
    <w:rsid w:val="009849E1"/>
    <w:rsid w:val="00A47A87"/>
    <w:rsid w:val="00AC19FA"/>
    <w:rsid w:val="00D74E58"/>
    <w:rsid w:val="00EC1342"/>
    <w:rsid w:val="00ED76F8"/>
    <w:rsid w:val="00F8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3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6A745-EA60-4641-AF6C-B355FF3AF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7DC769-18AF-4A59-B35E-9DF3F9AE9B56}">
  <ds:schemaRefs>
    <ds:schemaRef ds:uri="http://schemas.microsoft.com/office/2006/metadata/properties"/>
    <ds:schemaRef ds:uri="http://schemas.microsoft.com/office/infopath/2007/PartnerControls"/>
    <ds:schemaRef ds:uri="3159b18a-1c9e-40ae-afe6-d35ac3692f3a"/>
  </ds:schemaRefs>
</ds:datastoreItem>
</file>

<file path=customXml/itemProps3.xml><?xml version="1.0" encoding="utf-8"?>
<ds:datastoreItem xmlns:ds="http://schemas.openxmlformats.org/officeDocument/2006/customXml" ds:itemID="{DE570270-49FB-4E04-9E4F-4A04FD6C7CD9}">
  <ds:schemaRefs>
    <ds:schemaRef ds:uri="http://schemas.openxmlformats.org/officeDocument/2006/bibliography"/>
  </ds:schemaRefs>
</ds:datastoreItem>
</file>

<file path=customXml/itemProps4.xml><?xml version="1.0" encoding="utf-8"?>
<ds:datastoreItem xmlns:ds="http://schemas.openxmlformats.org/officeDocument/2006/customXml" ds:itemID="{563FCE1D-2720-49B2-94A1-ACFDEE71A8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 DeAnna</dc:creator>
  <cp:keywords/>
  <dc:description/>
  <cp:lastModifiedBy>Miller, Darby R</cp:lastModifiedBy>
  <cp:revision>2</cp:revision>
  <dcterms:created xsi:type="dcterms:W3CDTF">2021-08-26T17:28:00Z</dcterms:created>
  <dcterms:modified xsi:type="dcterms:W3CDTF">2021-08-26T17:28:00Z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