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5B" w:rsidRPr="00E07893" w:rsidRDefault="00032DF8" w:rsidP="00032DF8">
      <w:pPr>
        <w:ind w:right="-612"/>
        <w:jc w:val="center"/>
        <w:rPr>
          <w:b/>
          <w:sz w:val="22"/>
          <w:szCs w:val="22"/>
        </w:rPr>
      </w:pPr>
      <w:r w:rsidRPr="00E07893">
        <w:rPr>
          <w:b/>
          <w:sz w:val="22"/>
          <w:szCs w:val="22"/>
        </w:rPr>
        <w:t>MEMORANDUM</w:t>
      </w:r>
    </w:p>
    <w:p w:rsidR="00032DF8" w:rsidRPr="00E07893" w:rsidRDefault="00032DF8" w:rsidP="00032DF8">
      <w:pPr>
        <w:ind w:right="-612"/>
        <w:jc w:val="center"/>
        <w:rPr>
          <w:b/>
          <w:sz w:val="22"/>
          <w:szCs w:val="22"/>
        </w:rPr>
      </w:pPr>
    </w:p>
    <w:p w:rsidR="004419EB" w:rsidRPr="00E07893" w:rsidRDefault="004419EB" w:rsidP="00032DF8">
      <w:pPr>
        <w:ind w:right="-612"/>
        <w:jc w:val="center"/>
        <w:rPr>
          <w:b/>
          <w:sz w:val="22"/>
          <w:szCs w:val="22"/>
        </w:rPr>
      </w:pPr>
    </w:p>
    <w:p w:rsidR="00032DF8" w:rsidRPr="00AD1A2F" w:rsidRDefault="00032DF8" w:rsidP="000317F3">
      <w:pPr>
        <w:ind w:left="1080" w:right="-612" w:hanging="1080"/>
        <w:rPr>
          <w:sz w:val="22"/>
          <w:szCs w:val="22"/>
        </w:rPr>
      </w:pPr>
      <w:r w:rsidRPr="00E07893">
        <w:rPr>
          <w:sz w:val="22"/>
          <w:szCs w:val="22"/>
        </w:rPr>
        <w:t>TO:</w:t>
      </w:r>
      <w:r w:rsidR="0064049D" w:rsidRPr="00E07893">
        <w:rPr>
          <w:sz w:val="22"/>
          <w:szCs w:val="22"/>
        </w:rPr>
        <w:t xml:space="preserve"> </w:t>
      </w:r>
      <w:r w:rsidR="005A6C0C" w:rsidRPr="00E07893">
        <w:rPr>
          <w:sz w:val="22"/>
          <w:szCs w:val="22"/>
        </w:rPr>
        <w:tab/>
      </w:r>
      <w:r w:rsidR="00E646F0" w:rsidRPr="00E07893">
        <w:rPr>
          <w:sz w:val="22"/>
          <w:szCs w:val="22"/>
        </w:rPr>
        <w:t xml:space="preserve">Project File, </w:t>
      </w:r>
      <w:r w:rsidR="000317F3" w:rsidRPr="00E07893">
        <w:rPr>
          <w:sz w:val="22"/>
          <w:szCs w:val="22"/>
        </w:rPr>
        <w:t xml:space="preserve">City of </w:t>
      </w:r>
      <w:r w:rsidR="008051C1">
        <w:rPr>
          <w:sz w:val="22"/>
          <w:szCs w:val="22"/>
        </w:rPr>
        <w:t>Jeffersonville</w:t>
      </w:r>
      <w:r w:rsidR="00E646F0" w:rsidRPr="00E07893">
        <w:rPr>
          <w:sz w:val="22"/>
          <w:szCs w:val="22"/>
        </w:rPr>
        <w:t xml:space="preserve">, </w:t>
      </w:r>
      <w:r w:rsidR="008051C1">
        <w:rPr>
          <w:sz w:val="22"/>
          <w:szCs w:val="22"/>
        </w:rPr>
        <w:t>South Pump Station</w:t>
      </w:r>
      <w:r w:rsidR="00D74F31">
        <w:rPr>
          <w:sz w:val="22"/>
          <w:szCs w:val="22"/>
        </w:rPr>
        <w:t>s</w:t>
      </w:r>
      <w:r w:rsidR="008051C1">
        <w:rPr>
          <w:sz w:val="22"/>
          <w:szCs w:val="22"/>
        </w:rPr>
        <w:t>/Force Mains Project</w:t>
      </w:r>
      <w:r w:rsidR="00E646F0" w:rsidRPr="00E07893">
        <w:rPr>
          <w:sz w:val="22"/>
          <w:szCs w:val="22"/>
        </w:rPr>
        <w:t xml:space="preserve">, </w:t>
      </w:r>
      <w:r w:rsidR="008051C1">
        <w:rPr>
          <w:sz w:val="22"/>
          <w:szCs w:val="22"/>
        </w:rPr>
        <w:t xml:space="preserve">                             </w:t>
      </w:r>
      <w:r w:rsidR="00E646F0" w:rsidRPr="00E07893">
        <w:rPr>
          <w:sz w:val="22"/>
          <w:szCs w:val="22"/>
        </w:rPr>
        <w:t xml:space="preserve">SRF Project # </w:t>
      </w:r>
      <w:r w:rsidR="0040449C" w:rsidRPr="00AD1A2F">
        <w:rPr>
          <w:sz w:val="22"/>
          <w:szCs w:val="22"/>
        </w:rPr>
        <w:t>W</w:t>
      </w:r>
      <w:r w:rsidR="00E646F0" w:rsidRPr="00AD1A2F">
        <w:rPr>
          <w:sz w:val="22"/>
          <w:szCs w:val="22"/>
        </w:rPr>
        <w:t>W</w:t>
      </w:r>
      <w:r w:rsidR="0040449C" w:rsidRPr="00AD1A2F">
        <w:rPr>
          <w:sz w:val="22"/>
          <w:szCs w:val="22"/>
        </w:rPr>
        <w:t>1</w:t>
      </w:r>
      <w:r w:rsidR="00A27866" w:rsidRPr="00AD1A2F">
        <w:rPr>
          <w:sz w:val="22"/>
          <w:szCs w:val="22"/>
        </w:rPr>
        <w:t>0 01 35 03</w:t>
      </w:r>
      <w:r w:rsidR="005A6C0C" w:rsidRPr="00AD1A2F">
        <w:rPr>
          <w:sz w:val="22"/>
          <w:szCs w:val="22"/>
        </w:rPr>
        <w:tab/>
      </w:r>
    </w:p>
    <w:p w:rsidR="00032DF8" w:rsidRPr="00AD1A2F" w:rsidRDefault="00032DF8" w:rsidP="00032DF8">
      <w:pPr>
        <w:ind w:right="-612"/>
        <w:rPr>
          <w:sz w:val="22"/>
          <w:szCs w:val="22"/>
        </w:rPr>
      </w:pPr>
    </w:p>
    <w:p w:rsidR="00032DF8" w:rsidRPr="00AD1A2F" w:rsidRDefault="00032DF8" w:rsidP="000317F3">
      <w:pPr>
        <w:ind w:left="1080" w:right="-612" w:hanging="1080"/>
        <w:rPr>
          <w:sz w:val="22"/>
          <w:szCs w:val="22"/>
        </w:rPr>
      </w:pPr>
      <w:r w:rsidRPr="00AD1A2F">
        <w:rPr>
          <w:sz w:val="22"/>
          <w:szCs w:val="22"/>
        </w:rPr>
        <w:t>FROM:</w:t>
      </w:r>
      <w:r w:rsidR="0064049D" w:rsidRPr="00AD1A2F">
        <w:rPr>
          <w:sz w:val="22"/>
          <w:szCs w:val="22"/>
        </w:rPr>
        <w:t xml:space="preserve"> </w:t>
      </w:r>
      <w:r w:rsidR="00E646F0" w:rsidRPr="00AD1A2F">
        <w:rPr>
          <w:sz w:val="22"/>
          <w:szCs w:val="22"/>
        </w:rPr>
        <w:t xml:space="preserve"> </w:t>
      </w:r>
      <w:r w:rsidR="000317F3" w:rsidRPr="00AD1A2F">
        <w:rPr>
          <w:sz w:val="22"/>
          <w:szCs w:val="22"/>
        </w:rPr>
        <w:tab/>
      </w:r>
      <w:r w:rsidR="0040449C" w:rsidRPr="00AD1A2F">
        <w:rPr>
          <w:sz w:val="22"/>
          <w:szCs w:val="22"/>
        </w:rPr>
        <w:t>Jack Fisher</w:t>
      </w:r>
      <w:r w:rsidR="005A6C0C" w:rsidRPr="00AD1A2F">
        <w:rPr>
          <w:sz w:val="22"/>
          <w:szCs w:val="22"/>
        </w:rPr>
        <w:tab/>
      </w:r>
    </w:p>
    <w:p w:rsidR="00F0489A" w:rsidRPr="00AD1A2F" w:rsidRDefault="00F0489A" w:rsidP="00032DF8">
      <w:pPr>
        <w:ind w:right="-612"/>
        <w:rPr>
          <w:sz w:val="22"/>
          <w:szCs w:val="22"/>
        </w:rPr>
      </w:pPr>
    </w:p>
    <w:p w:rsidR="00F0489A" w:rsidRPr="00AD1A2F" w:rsidRDefault="00F0489A" w:rsidP="000317F3">
      <w:pPr>
        <w:ind w:left="1080" w:right="-612" w:hanging="1080"/>
        <w:rPr>
          <w:sz w:val="22"/>
          <w:szCs w:val="22"/>
        </w:rPr>
      </w:pPr>
      <w:r w:rsidRPr="00AD1A2F">
        <w:rPr>
          <w:sz w:val="22"/>
          <w:szCs w:val="22"/>
        </w:rPr>
        <w:t>DATE:</w:t>
      </w:r>
      <w:r w:rsidR="0064049D" w:rsidRPr="00AD1A2F">
        <w:rPr>
          <w:sz w:val="22"/>
          <w:szCs w:val="22"/>
        </w:rPr>
        <w:t xml:space="preserve"> </w:t>
      </w:r>
      <w:r w:rsidR="000317F3" w:rsidRPr="00AD1A2F">
        <w:rPr>
          <w:sz w:val="22"/>
          <w:szCs w:val="22"/>
        </w:rPr>
        <w:tab/>
      </w:r>
      <w:r w:rsidR="008C650A" w:rsidRPr="00AD1A2F">
        <w:rPr>
          <w:sz w:val="22"/>
          <w:szCs w:val="22"/>
        </w:rPr>
        <w:t>Dece</w:t>
      </w:r>
      <w:r w:rsidR="008051C1" w:rsidRPr="00AD1A2F">
        <w:rPr>
          <w:sz w:val="22"/>
          <w:szCs w:val="22"/>
        </w:rPr>
        <w:t xml:space="preserve">mber </w:t>
      </w:r>
      <w:r w:rsidR="00AD1A2F" w:rsidRPr="00AD1A2F">
        <w:rPr>
          <w:sz w:val="22"/>
          <w:szCs w:val="22"/>
        </w:rPr>
        <w:t>6</w:t>
      </w:r>
      <w:r w:rsidR="008051C1" w:rsidRPr="00AD1A2F">
        <w:rPr>
          <w:sz w:val="22"/>
          <w:szCs w:val="22"/>
        </w:rPr>
        <w:t>, 2012</w:t>
      </w:r>
      <w:r w:rsidR="005A6C0C" w:rsidRPr="00AD1A2F">
        <w:rPr>
          <w:sz w:val="22"/>
          <w:szCs w:val="22"/>
        </w:rPr>
        <w:tab/>
      </w:r>
    </w:p>
    <w:p w:rsidR="00032DF8" w:rsidRPr="00AD1A2F" w:rsidRDefault="00032DF8" w:rsidP="00032DF8">
      <w:pPr>
        <w:ind w:right="-612"/>
        <w:rPr>
          <w:sz w:val="22"/>
          <w:szCs w:val="22"/>
        </w:rPr>
      </w:pPr>
    </w:p>
    <w:p w:rsidR="00032DF8" w:rsidRPr="00E07893" w:rsidRDefault="00032DF8" w:rsidP="000317F3">
      <w:pPr>
        <w:ind w:left="1080" w:right="-612" w:hanging="1080"/>
        <w:rPr>
          <w:sz w:val="22"/>
          <w:szCs w:val="22"/>
        </w:rPr>
      </w:pPr>
      <w:r w:rsidRPr="00AD1A2F">
        <w:rPr>
          <w:sz w:val="22"/>
          <w:szCs w:val="22"/>
        </w:rPr>
        <w:t>RE:</w:t>
      </w:r>
      <w:r w:rsidR="0064049D" w:rsidRPr="00AD1A2F">
        <w:rPr>
          <w:sz w:val="22"/>
          <w:szCs w:val="22"/>
        </w:rPr>
        <w:t xml:space="preserve"> </w:t>
      </w:r>
      <w:r w:rsidR="005A6C0C" w:rsidRPr="00AD1A2F">
        <w:rPr>
          <w:sz w:val="22"/>
          <w:szCs w:val="22"/>
        </w:rPr>
        <w:tab/>
      </w:r>
      <w:r w:rsidR="00E646F0" w:rsidRPr="00AD1A2F">
        <w:rPr>
          <w:sz w:val="22"/>
          <w:szCs w:val="22"/>
        </w:rPr>
        <w:t>Green Project Reserve</w:t>
      </w:r>
      <w:r w:rsidR="00E07893" w:rsidRPr="00AD1A2F">
        <w:rPr>
          <w:sz w:val="22"/>
          <w:szCs w:val="22"/>
        </w:rPr>
        <w:t xml:space="preserve"> (GPR)</w:t>
      </w:r>
      <w:r w:rsidR="00E646F0" w:rsidRPr="00AD1A2F">
        <w:rPr>
          <w:sz w:val="22"/>
          <w:szCs w:val="22"/>
        </w:rPr>
        <w:t>, Business</w:t>
      </w:r>
      <w:r w:rsidR="00E646F0" w:rsidRPr="00E07893">
        <w:rPr>
          <w:sz w:val="22"/>
          <w:szCs w:val="22"/>
        </w:rPr>
        <w:t xml:space="preserve"> Case</w:t>
      </w:r>
      <w:r w:rsidR="005A6C0C" w:rsidRPr="00E07893">
        <w:rPr>
          <w:sz w:val="22"/>
          <w:szCs w:val="22"/>
        </w:rPr>
        <w:tab/>
      </w:r>
    </w:p>
    <w:p w:rsidR="0064049D" w:rsidRPr="00E07893" w:rsidRDefault="0064049D" w:rsidP="00032DF8">
      <w:pPr>
        <w:ind w:right="-612"/>
        <w:rPr>
          <w:sz w:val="22"/>
          <w:szCs w:val="22"/>
        </w:rPr>
      </w:pPr>
    </w:p>
    <w:p w:rsidR="00E646F0" w:rsidRDefault="00E646F0" w:rsidP="00E646F0">
      <w:pPr>
        <w:rPr>
          <w:b/>
          <w:sz w:val="22"/>
          <w:szCs w:val="22"/>
        </w:rPr>
      </w:pPr>
      <w:r w:rsidRPr="00E07893">
        <w:rPr>
          <w:b/>
          <w:sz w:val="22"/>
          <w:szCs w:val="22"/>
        </w:rPr>
        <w:t>Summary</w:t>
      </w:r>
      <w:r w:rsidR="001F09FC" w:rsidRPr="00E07893">
        <w:rPr>
          <w:b/>
          <w:sz w:val="22"/>
          <w:szCs w:val="22"/>
        </w:rPr>
        <w:t>:</w:t>
      </w:r>
    </w:p>
    <w:p w:rsidR="00996ECF" w:rsidRPr="00E07893" w:rsidRDefault="00996ECF" w:rsidP="00E646F0">
      <w:pPr>
        <w:rPr>
          <w:b/>
          <w:sz w:val="22"/>
          <w:szCs w:val="22"/>
        </w:rPr>
      </w:pPr>
    </w:p>
    <w:p w:rsidR="004419EB" w:rsidRPr="00E07893" w:rsidRDefault="004419EB" w:rsidP="00E646F0">
      <w:pPr>
        <w:rPr>
          <w:b/>
          <w:sz w:val="22"/>
          <w:szCs w:val="22"/>
        </w:rPr>
      </w:pPr>
    </w:p>
    <w:p w:rsidR="000D7B4F" w:rsidRDefault="000D7B4F" w:rsidP="00004718">
      <w:pPr>
        <w:pStyle w:val="ListParagraph"/>
        <w:ind w:hanging="360"/>
        <w:rPr>
          <w:rFonts w:ascii="Times New Roman" w:hAnsi="Times New Roman"/>
        </w:rPr>
      </w:pPr>
      <w:r w:rsidRPr="00E07893">
        <w:rPr>
          <w:rFonts w:ascii="Times New Roman" w:hAnsi="Times New Roman"/>
        </w:rPr>
        <w:sym w:font="Symbol" w:char="F0B7"/>
      </w:r>
      <w:r w:rsidRPr="00E07893">
        <w:rPr>
          <w:rFonts w:ascii="Times New Roman" w:hAnsi="Times New Roman"/>
        </w:rPr>
        <w:tab/>
      </w:r>
      <w:r w:rsidR="008051C1">
        <w:rPr>
          <w:rFonts w:ascii="Times New Roman" w:hAnsi="Times New Roman"/>
        </w:rPr>
        <w:t xml:space="preserve">Jeffersonville is proposing the construction of the </w:t>
      </w:r>
      <w:proofErr w:type="spellStart"/>
      <w:r w:rsidR="008051C1">
        <w:rPr>
          <w:rFonts w:ascii="Times New Roman" w:hAnsi="Times New Roman"/>
        </w:rPr>
        <w:t>Lentzier</w:t>
      </w:r>
      <w:proofErr w:type="spellEnd"/>
      <w:r w:rsidR="008051C1">
        <w:rPr>
          <w:rFonts w:ascii="Times New Roman" w:hAnsi="Times New Roman"/>
        </w:rPr>
        <w:t xml:space="preserve"> Creek Pumping Station </w:t>
      </w:r>
      <w:r w:rsidR="00F2401F">
        <w:rPr>
          <w:rFonts w:ascii="Times New Roman" w:hAnsi="Times New Roman"/>
        </w:rPr>
        <w:t xml:space="preserve">(LCPS) </w:t>
      </w:r>
      <w:r w:rsidR="008051C1">
        <w:rPr>
          <w:rFonts w:ascii="Times New Roman" w:hAnsi="Times New Roman"/>
        </w:rPr>
        <w:t xml:space="preserve">and gravity interceptor to eliminate five pumping stations to improve operation and maintenance </w:t>
      </w:r>
      <w:r w:rsidR="00F2401F">
        <w:rPr>
          <w:rFonts w:ascii="Times New Roman" w:hAnsi="Times New Roman"/>
        </w:rPr>
        <w:t>as well as the power usage efficiency for the conveyance of wastewater to its North Wastewater Treatment Plant</w:t>
      </w:r>
      <w:r w:rsidR="005F30D6">
        <w:rPr>
          <w:rFonts w:ascii="Times New Roman" w:hAnsi="Times New Roman"/>
        </w:rPr>
        <w:t xml:space="preserve"> (WWTP)</w:t>
      </w:r>
      <w:r w:rsidR="00004718">
        <w:rPr>
          <w:rFonts w:ascii="Times New Roman" w:hAnsi="Times New Roman"/>
        </w:rPr>
        <w:t>.</w:t>
      </w:r>
      <w:r w:rsidR="00FD2EE9">
        <w:rPr>
          <w:rFonts w:ascii="Times New Roman" w:hAnsi="Times New Roman"/>
        </w:rPr>
        <w:t xml:space="preserve">  The LCPS will contain two pumps controlled by variable frequency drives. This project will also reduce the length of the force main for the </w:t>
      </w:r>
      <w:proofErr w:type="spellStart"/>
      <w:r w:rsidR="00FD2EE9">
        <w:rPr>
          <w:rFonts w:ascii="Times New Roman" w:hAnsi="Times New Roman"/>
        </w:rPr>
        <w:t>Riverport</w:t>
      </w:r>
      <w:proofErr w:type="spellEnd"/>
      <w:r w:rsidR="00FD2EE9">
        <w:rPr>
          <w:rFonts w:ascii="Times New Roman" w:hAnsi="Times New Roman"/>
        </w:rPr>
        <w:t xml:space="preserve"> Pump Station by approximately one-third, effectively lowering its cost of operation.  </w:t>
      </w:r>
      <w:r w:rsidR="00CD18A0">
        <w:rPr>
          <w:rFonts w:ascii="Times New Roman" w:hAnsi="Times New Roman"/>
        </w:rPr>
        <w:t xml:space="preserve">The </w:t>
      </w:r>
      <w:r w:rsidR="00D74F31">
        <w:rPr>
          <w:rFonts w:ascii="Times New Roman" w:hAnsi="Times New Roman"/>
        </w:rPr>
        <w:t xml:space="preserve">South Pump Stations </w:t>
      </w:r>
      <w:proofErr w:type="gramStart"/>
      <w:r w:rsidR="00D74F31">
        <w:rPr>
          <w:rFonts w:ascii="Times New Roman" w:hAnsi="Times New Roman"/>
        </w:rPr>
        <w:t>and</w:t>
      </w:r>
      <w:proofErr w:type="gramEnd"/>
      <w:r w:rsidR="00D74F31">
        <w:rPr>
          <w:rFonts w:ascii="Times New Roman" w:hAnsi="Times New Roman"/>
        </w:rPr>
        <w:t xml:space="preserve"> Force Mains</w:t>
      </w:r>
      <w:r w:rsidR="00CD18A0">
        <w:rPr>
          <w:rFonts w:ascii="Times New Roman" w:hAnsi="Times New Roman"/>
        </w:rPr>
        <w:t xml:space="preserve"> project consider</w:t>
      </w:r>
      <w:r w:rsidR="00D74F31">
        <w:rPr>
          <w:rFonts w:ascii="Times New Roman" w:hAnsi="Times New Roman"/>
        </w:rPr>
        <w:t>s</w:t>
      </w:r>
      <w:r w:rsidR="00CD18A0">
        <w:rPr>
          <w:rFonts w:ascii="Times New Roman" w:hAnsi="Times New Roman"/>
        </w:rPr>
        <w:t xml:space="preserve"> the </w:t>
      </w:r>
      <w:r w:rsidR="00D74F31">
        <w:rPr>
          <w:rFonts w:ascii="Times New Roman" w:hAnsi="Times New Roman"/>
        </w:rPr>
        <w:t xml:space="preserve">proposed </w:t>
      </w:r>
      <w:r w:rsidR="00CD18A0">
        <w:rPr>
          <w:rFonts w:ascii="Times New Roman" w:hAnsi="Times New Roman"/>
        </w:rPr>
        <w:t xml:space="preserve">gravity interceptor </w:t>
      </w:r>
      <w:r w:rsidR="00D74F31">
        <w:rPr>
          <w:rFonts w:ascii="Times New Roman" w:hAnsi="Times New Roman"/>
        </w:rPr>
        <w:t xml:space="preserve">an eligible Green Project Reserve component since it </w:t>
      </w:r>
      <w:r w:rsidR="00CD18A0">
        <w:rPr>
          <w:rFonts w:ascii="Times New Roman" w:hAnsi="Times New Roman"/>
        </w:rPr>
        <w:t>will eliminate</w:t>
      </w:r>
      <w:r w:rsidR="00D74F31">
        <w:rPr>
          <w:rFonts w:ascii="Times New Roman" w:hAnsi="Times New Roman"/>
        </w:rPr>
        <w:t xml:space="preserve"> five pumping stations.  The proposed gravity sewer will have the</w:t>
      </w:r>
      <w:r w:rsidR="00CD18A0">
        <w:rPr>
          <w:rFonts w:ascii="Times New Roman" w:hAnsi="Times New Roman"/>
        </w:rPr>
        <w:t xml:space="preserve"> ability to effectively convey wastewater to one centralized location </w:t>
      </w:r>
      <w:r w:rsidR="00D74F31">
        <w:rPr>
          <w:rFonts w:ascii="Times New Roman" w:hAnsi="Times New Roman"/>
        </w:rPr>
        <w:t xml:space="preserve">along with </w:t>
      </w:r>
      <w:r w:rsidR="00CD18A0">
        <w:rPr>
          <w:rFonts w:ascii="Times New Roman" w:hAnsi="Times New Roman"/>
        </w:rPr>
        <w:t>reduc</w:t>
      </w:r>
      <w:r w:rsidR="00D74F31">
        <w:rPr>
          <w:rFonts w:ascii="Times New Roman" w:hAnsi="Times New Roman"/>
        </w:rPr>
        <w:t xml:space="preserve">ing electrical </w:t>
      </w:r>
      <w:r w:rsidR="00CD18A0">
        <w:rPr>
          <w:rFonts w:ascii="Times New Roman" w:hAnsi="Times New Roman"/>
        </w:rPr>
        <w:t xml:space="preserve">energy and </w:t>
      </w:r>
      <w:r w:rsidR="00D74F31">
        <w:rPr>
          <w:rFonts w:ascii="Times New Roman" w:hAnsi="Times New Roman"/>
        </w:rPr>
        <w:t xml:space="preserve">other </w:t>
      </w:r>
      <w:r w:rsidR="00CD18A0">
        <w:rPr>
          <w:rFonts w:ascii="Times New Roman" w:hAnsi="Times New Roman"/>
        </w:rPr>
        <w:t xml:space="preserve">resources throughout the system. </w:t>
      </w:r>
      <w:r w:rsidR="00FD2EE9">
        <w:rPr>
          <w:rFonts w:ascii="Times New Roman" w:hAnsi="Times New Roman"/>
        </w:rPr>
        <w:t xml:space="preserve"> </w:t>
      </w:r>
      <w:r w:rsidR="00F2401F">
        <w:rPr>
          <w:rFonts w:ascii="Times New Roman" w:hAnsi="Times New Roman"/>
        </w:rPr>
        <w:t xml:space="preserve"> </w:t>
      </w:r>
    </w:p>
    <w:p w:rsidR="00590E30" w:rsidRDefault="00590E30" w:rsidP="00004718">
      <w:pPr>
        <w:pStyle w:val="ListParagraph"/>
        <w:ind w:hanging="360"/>
        <w:rPr>
          <w:rFonts w:ascii="Times New Roman" w:hAnsi="Times New Roman"/>
        </w:rPr>
      </w:pPr>
    </w:p>
    <w:p w:rsidR="00590E30" w:rsidRDefault="00590E30" w:rsidP="00004718">
      <w:pPr>
        <w:pStyle w:val="ListParagraph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If Jeffersonville does not construct the project as designed, they w</w:t>
      </w:r>
      <w:r w:rsidR="005F30D6">
        <w:rPr>
          <w:rFonts w:ascii="Times New Roman" w:hAnsi="Times New Roman"/>
        </w:rPr>
        <w:t>ould</w:t>
      </w:r>
      <w:r>
        <w:rPr>
          <w:rFonts w:ascii="Times New Roman" w:hAnsi="Times New Roman"/>
        </w:rPr>
        <w:t xml:space="preserve"> be required to make </w:t>
      </w:r>
      <w:r w:rsidR="005F30D6">
        <w:rPr>
          <w:rFonts w:ascii="Times New Roman" w:hAnsi="Times New Roman"/>
        </w:rPr>
        <w:t xml:space="preserve">other </w:t>
      </w:r>
      <w:r>
        <w:rPr>
          <w:rFonts w:ascii="Times New Roman" w:hAnsi="Times New Roman"/>
        </w:rPr>
        <w:t xml:space="preserve">improvements to </w:t>
      </w:r>
      <w:r w:rsidR="005F30D6">
        <w:rPr>
          <w:rFonts w:ascii="Times New Roman" w:hAnsi="Times New Roman"/>
        </w:rPr>
        <w:t>the collection system in order to divert flow from the Downtown WWTP to the North WWTP.</w:t>
      </w:r>
      <w:r>
        <w:rPr>
          <w:rFonts w:ascii="Times New Roman" w:hAnsi="Times New Roman"/>
        </w:rPr>
        <w:t xml:space="preserve">  In evaluat</w:t>
      </w:r>
      <w:r w:rsidR="00C318E2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improvements necessary to accommodate replacement of </w:t>
      </w:r>
      <w:r w:rsidR="00C318E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pumping stations</w:t>
      </w:r>
      <w:r w:rsidR="00C318E2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  <w:r w:rsidR="00C318E2">
        <w:rPr>
          <w:rFonts w:ascii="Times New Roman" w:hAnsi="Times New Roman"/>
        </w:rPr>
        <w:t xml:space="preserve">making </w:t>
      </w:r>
      <w:r>
        <w:rPr>
          <w:rFonts w:ascii="Times New Roman" w:hAnsi="Times New Roman"/>
        </w:rPr>
        <w:t>upgrades to the existing infrastructure</w:t>
      </w:r>
      <w:r w:rsidR="00C318E2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and </w:t>
      </w:r>
      <w:r w:rsidR="00C318E2">
        <w:rPr>
          <w:rFonts w:ascii="Times New Roman" w:hAnsi="Times New Roman"/>
        </w:rPr>
        <w:t xml:space="preserve">addressing </w:t>
      </w:r>
      <w:r>
        <w:rPr>
          <w:rFonts w:ascii="Times New Roman" w:hAnsi="Times New Roman"/>
        </w:rPr>
        <w:t xml:space="preserve">additional capacity needs throughout, a cost </w:t>
      </w:r>
      <w:r w:rsidR="00C318E2">
        <w:rPr>
          <w:rFonts w:ascii="Times New Roman" w:hAnsi="Times New Roman"/>
        </w:rPr>
        <w:t>comparison</w:t>
      </w:r>
      <w:r>
        <w:rPr>
          <w:rFonts w:ascii="Times New Roman" w:hAnsi="Times New Roman"/>
        </w:rPr>
        <w:t xml:space="preserve"> was prepared.  </w:t>
      </w:r>
      <w:r w:rsidR="00C318E2">
        <w:rPr>
          <w:rFonts w:ascii="Times New Roman" w:hAnsi="Times New Roman"/>
        </w:rPr>
        <w:t>The cost c</w:t>
      </w:r>
      <w:r>
        <w:rPr>
          <w:rFonts w:ascii="Times New Roman" w:hAnsi="Times New Roman"/>
        </w:rPr>
        <w:t xml:space="preserve">omparison </w:t>
      </w:r>
      <w:r w:rsidR="007A620D">
        <w:rPr>
          <w:rFonts w:ascii="Times New Roman" w:hAnsi="Times New Roman"/>
        </w:rPr>
        <w:t xml:space="preserve">showed that the </w:t>
      </w:r>
      <w:r>
        <w:rPr>
          <w:rFonts w:ascii="Times New Roman" w:hAnsi="Times New Roman"/>
        </w:rPr>
        <w:t xml:space="preserve">“As Designed” costs at $9,756,155 </w:t>
      </w:r>
      <w:r w:rsidR="007A620D">
        <w:rPr>
          <w:rFonts w:ascii="Times New Roman" w:hAnsi="Times New Roman"/>
        </w:rPr>
        <w:t xml:space="preserve">was more cost effective than </w:t>
      </w:r>
      <w:r w:rsidR="00996ECF">
        <w:rPr>
          <w:rFonts w:ascii="Times New Roman" w:hAnsi="Times New Roman"/>
        </w:rPr>
        <w:t xml:space="preserve">the “Alternative Analysis” (i.e., </w:t>
      </w:r>
      <w:r w:rsidR="007A620D">
        <w:rPr>
          <w:rFonts w:ascii="Times New Roman" w:hAnsi="Times New Roman"/>
        </w:rPr>
        <w:t>comprised of nine improvements projects</w:t>
      </w:r>
      <w:r w:rsidR="00996EC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at a cost of $</w:t>
      </w:r>
      <w:r w:rsidR="00996ECF">
        <w:rPr>
          <w:rFonts w:ascii="Times New Roman" w:hAnsi="Times New Roman"/>
        </w:rPr>
        <w:t>11,249,480</w:t>
      </w:r>
      <w:r w:rsidR="00015085">
        <w:rPr>
          <w:rFonts w:ascii="Times New Roman" w:hAnsi="Times New Roman"/>
        </w:rPr>
        <w:t xml:space="preserve"> or a difference of $1,493,325</w:t>
      </w:r>
      <w:r w:rsidR="00996ECF">
        <w:rPr>
          <w:rFonts w:ascii="Times New Roman" w:hAnsi="Times New Roman"/>
        </w:rPr>
        <w:t xml:space="preserve">.  </w:t>
      </w:r>
      <w:r w:rsidR="008918BE">
        <w:rPr>
          <w:rFonts w:ascii="Times New Roman" w:hAnsi="Times New Roman"/>
        </w:rPr>
        <w:t xml:space="preserve">Based </w:t>
      </w:r>
      <w:r w:rsidR="00015085">
        <w:rPr>
          <w:rFonts w:ascii="Times New Roman" w:hAnsi="Times New Roman"/>
        </w:rPr>
        <w:t>on this</w:t>
      </w:r>
      <w:r w:rsidR="008918BE">
        <w:rPr>
          <w:rFonts w:ascii="Times New Roman" w:hAnsi="Times New Roman"/>
        </w:rPr>
        <w:t xml:space="preserve"> difference</w:t>
      </w:r>
      <w:r w:rsidR="00015085">
        <w:rPr>
          <w:rFonts w:ascii="Times New Roman" w:hAnsi="Times New Roman"/>
        </w:rPr>
        <w:t xml:space="preserve">, </w:t>
      </w:r>
      <w:r w:rsidR="00996ECF">
        <w:rPr>
          <w:rFonts w:ascii="Times New Roman" w:hAnsi="Times New Roman"/>
        </w:rPr>
        <w:t xml:space="preserve">the </w:t>
      </w:r>
      <w:r w:rsidR="007A620D">
        <w:rPr>
          <w:rFonts w:ascii="Times New Roman" w:hAnsi="Times New Roman"/>
        </w:rPr>
        <w:t>proposed</w:t>
      </w:r>
      <w:r w:rsidR="00996ECF">
        <w:rPr>
          <w:rFonts w:ascii="Times New Roman" w:hAnsi="Times New Roman"/>
        </w:rPr>
        <w:t xml:space="preserve"> </w:t>
      </w:r>
      <w:r w:rsidR="008918BE">
        <w:rPr>
          <w:rFonts w:ascii="Times New Roman" w:hAnsi="Times New Roman"/>
        </w:rPr>
        <w:t xml:space="preserve">9,200 foot </w:t>
      </w:r>
      <w:r w:rsidR="00996ECF">
        <w:rPr>
          <w:rFonts w:ascii="Times New Roman" w:hAnsi="Times New Roman"/>
        </w:rPr>
        <w:t xml:space="preserve">gravity interceptor </w:t>
      </w:r>
      <w:r w:rsidR="007A620D">
        <w:rPr>
          <w:rFonts w:ascii="Times New Roman" w:hAnsi="Times New Roman"/>
        </w:rPr>
        <w:t xml:space="preserve">at a </w:t>
      </w:r>
      <w:r w:rsidR="008918BE">
        <w:rPr>
          <w:rFonts w:ascii="Times New Roman" w:hAnsi="Times New Roman"/>
        </w:rPr>
        <w:t>cost of $967,306</w:t>
      </w:r>
      <w:r w:rsidR="007A620D">
        <w:rPr>
          <w:rFonts w:ascii="Times New Roman" w:hAnsi="Times New Roman"/>
        </w:rPr>
        <w:t xml:space="preserve"> shou</w:t>
      </w:r>
      <w:r w:rsidR="00996ECF">
        <w:rPr>
          <w:rFonts w:ascii="Times New Roman" w:hAnsi="Times New Roman"/>
        </w:rPr>
        <w:t>ld be considered a Green Project Reserve Component.</w:t>
      </w:r>
      <w:r w:rsidR="007A620D">
        <w:rPr>
          <w:rFonts w:ascii="Times New Roman" w:hAnsi="Times New Roman"/>
        </w:rPr>
        <w:t xml:space="preserve"> </w:t>
      </w:r>
      <w:r w:rsidR="00996ECF">
        <w:rPr>
          <w:rFonts w:ascii="Times New Roman" w:hAnsi="Times New Roman"/>
        </w:rPr>
        <w:t xml:space="preserve"> </w:t>
      </w:r>
      <w:r w:rsidR="007A620D">
        <w:rPr>
          <w:rFonts w:ascii="Times New Roman" w:hAnsi="Times New Roman"/>
        </w:rPr>
        <w:t>In addition</w:t>
      </w:r>
      <w:r w:rsidR="00996ECF">
        <w:rPr>
          <w:rFonts w:ascii="Times New Roman" w:hAnsi="Times New Roman"/>
        </w:rPr>
        <w:t xml:space="preserve">, </w:t>
      </w:r>
      <w:r w:rsidR="00015085">
        <w:rPr>
          <w:rFonts w:ascii="Times New Roman" w:hAnsi="Times New Roman"/>
        </w:rPr>
        <w:t xml:space="preserve">an analysis </w:t>
      </w:r>
      <w:r w:rsidR="008918BE">
        <w:rPr>
          <w:rFonts w:ascii="Times New Roman" w:hAnsi="Times New Roman"/>
        </w:rPr>
        <w:t xml:space="preserve">based on </w:t>
      </w:r>
      <w:r w:rsidR="00996ECF">
        <w:rPr>
          <w:rFonts w:ascii="Times New Roman" w:hAnsi="Times New Roman"/>
        </w:rPr>
        <w:t xml:space="preserve">the </w:t>
      </w:r>
      <w:r w:rsidR="008918BE">
        <w:rPr>
          <w:rFonts w:ascii="Times New Roman" w:hAnsi="Times New Roman"/>
        </w:rPr>
        <w:t xml:space="preserve">amount of </w:t>
      </w:r>
      <w:r w:rsidR="00996ECF">
        <w:rPr>
          <w:rFonts w:ascii="Times New Roman" w:hAnsi="Times New Roman"/>
        </w:rPr>
        <w:t xml:space="preserve">energy </w:t>
      </w:r>
      <w:r w:rsidR="008918BE">
        <w:rPr>
          <w:rFonts w:ascii="Times New Roman" w:hAnsi="Times New Roman"/>
        </w:rPr>
        <w:t xml:space="preserve">consumption that will be reduced with the elimination of the pumping stations </w:t>
      </w:r>
      <w:r w:rsidR="00996ECF">
        <w:rPr>
          <w:rFonts w:ascii="Times New Roman" w:hAnsi="Times New Roman"/>
        </w:rPr>
        <w:t>an annual energy savings of approximately $73,000</w:t>
      </w:r>
      <w:r w:rsidR="00015085">
        <w:rPr>
          <w:rFonts w:ascii="Times New Roman" w:hAnsi="Times New Roman"/>
        </w:rPr>
        <w:t xml:space="preserve"> will be produced</w:t>
      </w:r>
      <w:r w:rsidR="00996ECF">
        <w:rPr>
          <w:rFonts w:ascii="Times New Roman" w:hAnsi="Times New Roman"/>
        </w:rPr>
        <w:t>.</w:t>
      </w:r>
    </w:p>
    <w:p w:rsidR="00996ECF" w:rsidRPr="00015085" w:rsidRDefault="00590E30" w:rsidP="00015085">
      <w:pPr>
        <w:pStyle w:val="ListParagraph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33B2" w:rsidRDefault="000D7B4F" w:rsidP="00D933B2">
      <w:pPr>
        <w:pStyle w:val="ListParagraph"/>
        <w:ind w:hanging="360"/>
        <w:rPr>
          <w:rFonts w:ascii="Times New Roman" w:hAnsi="Times New Roman"/>
        </w:rPr>
      </w:pPr>
      <w:r w:rsidRPr="00E07893">
        <w:rPr>
          <w:rFonts w:ascii="Times New Roman" w:hAnsi="Times New Roman"/>
        </w:rPr>
        <w:sym w:font="Symbol" w:char="F0B7"/>
      </w:r>
      <w:r w:rsidRPr="00E07893">
        <w:rPr>
          <w:rFonts w:ascii="Times New Roman" w:hAnsi="Times New Roman"/>
        </w:rPr>
        <w:tab/>
        <w:t xml:space="preserve">Estimated State Revolving Fund Loan Amount </w:t>
      </w:r>
      <w:r w:rsidR="00D475EA">
        <w:rPr>
          <w:rFonts w:ascii="Times New Roman" w:hAnsi="Times New Roman"/>
        </w:rPr>
        <w:t>is</w:t>
      </w:r>
      <w:r w:rsidRPr="00E07893">
        <w:rPr>
          <w:rFonts w:ascii="Times New Roman" w:hAnsi="Times New Roman"/>
        </w:rPr>
        <w:t xml:space="preserve"> $</w:t>
      </w:r>
      <w:r w:rsidR="00834EB9">
        <w:rPr>
          <w:rFonts w:ascii="Times New Roman" w:hAnsi="Times New Roman"/>
        </w:rPr>
        <w:t>1</w:t>
      </w:r>
      <w:r w:rsidR="00D933B2">
        <w:rPr>
          <w:rFonts w:ascii="Times New Roman" w:hAnsi="Times New Roman"/>
        </w:rPr>
        <w:t>1</w:t>
      </w:r>
      <w:r w:rsidR="00D475EA">
        <w:rPr>
          <w:rFonts w:ascii="Times New Roman" w:hAnsi="Times New Roman"/>
        </w:rPr>
        <w:t>,</w:t>
      </w:r>
      <w:r w:rsidR="00D933B2">
        <w:rPr>
          <w:rFonts w:ascii="Times New Roman" w:hAnsi="Times New Roman"/>
        </w:rPr>
        <w:t>865</w:t>
      </w:r>
      <w:r w:rsidR="00D475EA">
        <w:rPr>
          <w:rFonts w:ascii="Times New Roman" w:hAnsi="Times New Roman"/>
        </w:rPr>
        <w:t>,</w:t>
      </w:r>
      <w:r w:rsidR="00834EB9">
        <w:rPr>
          <w:rFonts w:ascii="Times New Roman" w:hAnsi="Times New Roman"/>
        </w:rPr>
        <w:t>0</w:t>
      </w:r>
      <w:r w:rsidR="00D475EA">
        <w:rPr>
          <w:rFonts w:ascii="Times New Roman" w:hAnsi="Times New Roman"/>
        </w:rPr>
        <w:t>00</w:t>
      </w:r>
      <w:r w:rsidRPr="00E07893">
        <w:rPr>
          <w:rFonts w:ascii="Times New Roman" w:hAnsi="Times New Roman"/>
        </w:rPr>
        <w:t>.</w:t>
      </w:r>
    </w:p>
    <w:p w:rsidR="00A511B9" w:rsidRDefault="00A511B9" w:rsidP="00D933B2">
      <w:pPr>
        <w:pStyle w:val="ListParagraph"/>
        <w:ind w:hanging="360"/>
        <w:rPr>
          <w:rFonts w:ascii="Times New Roman" w:hAnsi="Times New Roman"/>
        </w:rPr>
      </w:pPr>
    </w:p>
    <w:p w:rsidR="00A511B9" w:rsidRPr="00D933B2" w:rsidRDefault="00A511B9" w:rsidP="00D933B2">
      <w:pPr>
        <w:pStyle w:val="ListParagraph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ab/>
        <w:t>As Bid Construction Cost for both the North and South Pump Stations &amp; Force Mains $10,961,508.</w:t>
      </w:r>
    </w:p>
    <w:p w:rsidR="000D7B4F" w:rsidRPr="00E07893" w:rsidRDefault="000D7B4F" w:rsidP="000D7B4F">
      <w:pPr>
        <w:pStyle w:val="ListParagraph"/>
        <w:ind w:hanging="360"/>
        <w:rPr>
          <w:rFonts w:ascii="Times New Roman" w:hAnsi="Times New Roman"/>
        </w:rPr>
      </w:pPr>
    </w:p>
    <w:p w:rsidR="00C87569" w:rsidRPr="00E07893" w:rsidRDefault="000D7B4F" w:rsidP="00BD02C3">
      <w:pPr>
        <w:pStyle w:val="ListParagraph"/>
        <w:ind w:hanging="360"/>
        <w:rPr>
          <w:rFonts w:ascii="Times New Roman" w:hAnsi="Times New Roman"/>
        </w:rPr>
      </w:pPr>
      <w:r w:rsidRPr="00E07893">
        <w:rPr>
          <w:rFonts w:ascii="Times New Roman" w:hAnsi="Times New Roman"/>
        </w:rPr>
        <w:sym w:font="Symbol" w:char="F0B7"/>
      </w:r>
      <w:r w:rsidRPr="00E07893">
        <w:rPr>
          <w:rFonts w:ascii="Times New Roman" w:hAnsi="Times New Roman"/>
        </w:rPr>
        <w:tab/>
      </w:r>
      <w:r w:rsidR="001F09FC" w:rsidRPr="00E07893">
        <w:rPr>
          <w:rFonts w:ascii="Times New Roman" w:hAnsi="Times New Roman"/>
        </w:rPr>
        <w:t xml:space="preserve">Estimated </w:t>
      </w:r>
      <w:r w:rsidR="00C87569" w:rsidRPr="00E07893">
        <w:rPr>
          <w:rFonts w:ascii="Times New Roman" w:hAnsi="Times New Roman"/>
        </w:rPr>
        <w:t xml:space="preserve">GPR </w:t>
      </w:r>
      <w:r w:rsidR="00D475EA">
        <w:rPr>
          <w:rFonts w:ascii="Times New Roman" w:hAnsi="Times New Roman"/>
        </w:rPr>
        <w:t xml:space="preserve">portion </w:t>
      </w:r>
      <w:r w:rsidR="00C87569" w:rsidRPr="00E07893">
        <w:rPr>
          <w:rFonts w:ascii="Times New Roman" w:hAnsi="Times New Roman"/>
        </w:rPr>
        <w:t xml:space="preserve">cost of </w:t>
      </w:r>
      <w:r w:rsidR="00D475EA">
        <w:rPr>
          <w:rFonts w:ascii="Times New Roman" w:hAnsi="Times New Roman"/>
        </w:rPr>
        <w:t xml:space="preserve">loan associated with the </w:t>
      </w:r>
      <w:r w:rsidR="007372BF">
        <w:rPr>
          <w:rFonts w:ascii="Times New Roman" w:hAnsi="Times New Roman"/>
        </w:rPr>
        <w:t xml:space="preserve">gravity interceptor </w:t>
      </w:r>
      <w:r w:rsidR="00D475EA">
        <w:rPr>
          <w:rFonts w:ascii="Times New Roman" w:hAnsi="Times New Roman"/>
        </w:rPr>
        <w:t xml:space="preserve">is </w:t>
      </w:r>
      <w:r w:rsidR="00C87569" w:rsidRPr="00351B18">
        <w:rPr>
          <w:rFonts w:ascii="Times New Roman" w:hAnsi="Times New Roman"/>
          <w:b/>
        </w:rPr>
        <w:t>$</w:t>
      </w:r>
      <w:r w:rsidR="007372BF">
        <w:rPr>
          <w:rFonts w:ascii="Times New Roman" w:hAnsi="Times New Roman"/>
          <w:b/>
        </w:rPr>
        <w:t>967,306</w:t>
      </w:r>
      <w:r w:rsidR="00D0665C">
        <w:rPr>
          <w:rFonts w:ascii="Times New Roman" w:hAnsi="Times New Roman"/>
        </w:rPr>
        <w:t xml:space="preserve"> and </w:t>
      </w:r>
      <w:r w:rsidR="00D0665C" w:rsidRPr="00351B18">
        <w:rPr>
          <w:rFonts w:ascii="Times New Roman" w:hAnsi="Times New Roman"/>
          <w:b/>
        </w:rPr>
        <w:t>$</w:t>
      </w:r>
      <w:r w:rsidR="00637FD3">
        <w:rPr>
          <w:rFonts w:ascii="Times New Roman" w:hAnsi="Times New Roman"/>
          <w:b/>
        </w:rPr>
        <w:t>25</w:t>
      </w:r>
      <w:r w:rsidR="00FA3260" w:rsidRPr="00351B18">
        <w:rPr>
          <w:rFonts w:ascii="Times New Roman" w:hAnsi="Times New Roman"/>
          <w:b/>
        </w:rPr>
        <w:t>,000</w:t>
      </w:r>
      <w:r w:rsidR="00D0665C">
        <w:rPr>
          <w:rFonts w:ascii="Times New Roman" w:hAnsi="Times New Roman"/>
        </w:rPr>
        <w:t xml:space="preserve"> for planning and design costs for a total of </w:t>
      </w:r>
      <w:r w:rsidR="00D0665C" w:rsidRPr="00351B18">
        <w:rPr>
          <w:rFonts w:ascii="Times New Roman" w:hAnsi="Times New Roman"/>
          <w:b/>
        </w:rPr>
        <w:t>$</w:t>
      </w:r>
      <w:r w:rsidR="00637FD3">
        <w:rPr>
          <w:rFonts w:ascii="Times New Roman" w:hAnsi="Times New Roman"/>
          <w:b/>
        </w:rPr>
        <w:t>992,306</w:t>
      </w:r>
      <w:r w:rsidR="00D475EA">
        <w:rPr>
          <w:rFonts w:ascii="Times New Roman" w:hAnsi="Times New Roman"/>
        </w:rPr>
        <w:t xml:space="preserve">.  This represents </w:t>
      </w:r>
      <w:r w:rsidR="00637FD3">
        <w:rPr>
          <w:rFonts w:ascii="Times New Roman" w:hAnsi="Times New Roman"/>
        </w:rPr>
        <w:t>8.3</w:t>
      </w:r>
      <w:r w:rsidR="00D475EA">
        <w:rPr>
          <w:rFonts w:ascii="Times New Roman" w:hAnsi="Times New Roman"/>
        </w:rPr>
        <w:t xml:space="preserve"> </w:t>
      </w:r>
      <w:r w:rsidR="00C87569" w:rsidRPr="00E07893">
        <w:rPr>
          <w:rFonts w:ascii="Times New Roman" w:hAnsi="Times New Roman"/>
        </w:rPr>
        <w:t xml:space="preserve">% of the </w:t>
      </w:r>
      <w:r w:rsidR="00D475EA">
        <w:rPr>
          <w:rFonts w:ascii="Times New Roman" w:hAnsi="Times New Roman"/>
        </w:rPr>
        <w:t>estimated loan amount</w:t>
      </w:r>
      <w:r w:rsidR="00C87569" w:rsidRPr="00E07893">
        <w:rPr>
          <w:rFonts w:ascii="Times New Roman" w:hAnsi="Times New Roman"/>
        </w:rPr>
        <w:t>.</w:t>
      </w:r>
      <w:r w:rsidR="00BD02C3" w:rsidRPr="00E07893">
        <w:rPr>
          <w:rFonts w:ascii="Times New Roman" w:hAnsi="Times New Roman"/>
        </w:rPr>
        <w:t xml:space="preserve"> </w:t>
      </w:r>
      <w:r w:rsidR="00E07893">
        <w:rPr>
          <w:rFonts w:ascii="Times New Roman" w:hAnsi="Times New Roman"/>
        </w:rPr>
        <w:t xml:space="preserve"> </w:t>
      </w:r>
    </w:p>
    <w:p w:rsidR="00C87569" w:rsidRPr="00E07893" w:rsidRDefault="00C87569" w:rsidP="00C87569">
      <w:pPr>
        <w:rPr>
          <w:b/>
          <w:sz w:val="22"/>
          <w:szCs w:val="22"/>
        </w:rPr>
      </w:pPr>
      <w:r w:rsidRPr="00E07893">
        <w:rPr>
          <w:b/>
          <w:sz w:val="22"/>
          <w:szCs w:val="22"/>
        </w:rPr>
        <w:t>Conclusions</w:t>
      </w:r>
    </w:p>
    <w:p w:rsidR="00C87569" w:rsidRPr="00E07893" w:rsidRDefault="00C87569" w:rsidP="000D7B4F">
      <w:pPr>
        <w:pStyle w:val="ListParagraph"/>
        <w:ind w:hanging="360"/>
        <w:rPr>
          <w:rFonts w:ascii="Times New Roman" w:hAnsi="Times New Roman"/>
        </w:rPr>
      </w:pPr>
    </w:p>
    <w:p w:rsidR="000D7B4F" w:rsidRPr="00E07893" w:rsidRDefault="00C87569" w:rsidP="000D7B4F">
      <w:pPr>
        <w:pStyle w:val="ListParagraph"/>
        <w:ind w:hanging="360"/>
        <w:rPr>
          <w:rFonts w:ascii="Times New Roman" w:hAnsi="Times New Roman"/>
        </w:rPr>
      </w:pPr>
      <w:r w:rsidRPr="00E07893">
        <w:rPr>
          <w:rFonts w:ascii="Times New Roman" w:hAnsi="Times New Roman"/>
        </w:rPr>
        <w:sym w:font="Symbol" w:char="F0B7"/>
      </w:r>
      <w:r w:rsidRPr="00E07893">
        <w:rPr>
          <w:rFonts w:ascii="Times New Roman" w:hAnsi="Times New Roman"/>
        </w:rPr>
        <w:tab/>
      </w:r>
      <w:r w:rsidR="00D44C87">
        <w:rPr>
          <w:rFonts w:ascii="Times New Roman" w:hAnsi="Times New Roman"/>
        </w:rPr>
        <w:t xml:space="preserve">By </w:t>
      </w:r>
      <w:r w:rsidR="00996ECF">
        <w:rPr>
          <w:rFonts w:ascii="Times New Roman" w:hAnsi="Times New Roman"/>
        </w:rPr>
        <w:t>constructing the proposed gravity interceptor</w:t>
      </w:r>
      <w:r w:rsidR="00015085">
        <w:rPr>
          <w:rFonts w:ascii="Times New Roman" w:hAnsi="Times New Roman"/>
        </w:rPr>
        <w:t>,</w:t>
      </w:r>
      <w:r w:rsidR="00996ECF">
        <w:rPr>
          <w:rFonts w:ascii="Times New Roman" w:hAnsi="Times New Roman"/>
        </w:rPr>
        <w:t xml:space="preserve"> </w:t>
      </w:r>
      <w:r w:rsidR="00AE2911">
        <w:rPr>
          <w:rFonts w:ascii="Times New Roman" w:hAnsi="Times New Roman"/>
        </w:rPr>
        <w:t xml:space="preserve">the city will </w:t>
      </w:r>
      <w:r w:rsidR="00015085">
        <w:rPr>
          <w:rFonts w:ascii="Times New Roman" w:hAnsi="Times New Roman"/>
        </w:rPr>
        <w:t>realize</w:t>
      </w:r>
      <w:r w:rsidR="00AE2911">
        <w:rPr>
          <w:rFonts w:ascii="Times New Roman" w:hAnsi="Times New Roman"/>
        </w:rPr>
        <w:t xml:space="preserve"> a savings of approximately $73,000 per year in energy consumption and </w:t>
      </w:r>
      <w:r w:rsidR="00015085">
        <w:rPr>
          <w:rFonts w:ascii="Times New Roman" w:hAnsi="Times New Roman"/>
        </w:rPr>
        <w:t>show</w:t>
      </w:r>
      <w:r w:rsidR="00AE2911">
        <w:rPr>
          <w:rFonts w:ascii="Times New Roman" w:hAnsi="Times New Roman"/>
        </w:rPr>
        <w:t xml:space="preserve"> a payback </w:t>
      </w:r>
      <w:r w:rsidR="00015085">
        <w:rPr>
          <w:rFonts w:ascii="Times New Roman" w:hAnsi="Times New Roman"/>
        </w:rPr>
        <w:t>of</w:t>
      </w:r>
      <w:r w:rsidR="00AE2911">
        <w:rPr>
          <w:rFonts w:ascii="Times New Roman" w:hAnsi="Times New Roman"/>
        </w:rPr>
        <w:t xml:space="preserve"> 14 years</w:t>
      </w:r>
      <w:r w:rsidR="00015085">
        <w:rPr>
          <w:rFonts w:ascii="Times New Roman" w:hAnsi="Times New Roman"/>
        </w:rPr>
        <w:t xml:space="preserve">.  This payback period </w:t>
      </w:r>
      <w:r w:rsidR="00AE2911">
        <w:rPr>
          <w:rFonts w:ascii="Times New Roman" w:hAnsi="Times New Roman"/>
        </w:rPr>
        <w:t xml:space="preserve">is within the useful life of </w:t>
      </w:r>
      <w:r w:rsidR="00015085">
        <w:rPr>
          <w:rFonts w:ascii="Times New Roman" w:hAnsi="Times New Roman"/>
        </w:rPr>
        <w:t>a</w:t>
      </w:r>
      <w:r w:rsidR="00AE2911">
        <w:rPr>
          <w:rFonts w:ascii="Times New Roman" w:hAnsi="Times New Roman"/>
        </w:rPr>
        <w:t xml:space="preserve"> gravity interceptor at 50 years</w:t>
      </w:r>
      <w:r w:rsidRPr="00E07893">
        <w:rPr>
          <w:rFonts w:ascii="Times New Roman" w:hAnsi="Times New Roman"/>
        </w:rPr>
        <w:t xml:space="preserve">.  </w:t>
      </w:r>
    </w:p>
    <w:p w:rsidR="00C87569" w:rsidRPr="00E07893" w:rsidRDefault="00C87569" w:rsidP="000D7B4F">
      <w:pPr>
        <w:pStyle w:val="ListParagraph"/>
        <w:ind w:hanging="360"/>
        <w:rPr>
          <w:rFonts w:ascii="Times New Roman" w:hAnsi="Times New Roman"/>
        </w:rPr>
      </w:pPr>
    </w:p>
    <w:p w:rsidR="005E253E" w:rsidRPr="00E07893" w:rsidRDefault="00C87569" w:rsidP="000D7B4F">
      <w:pPr>
        <w:pStyle w:val="ListParagraph"/>
        <w:ind w:hanging="360"/>
        <w:rPr>
          <w:rFonts w:ascii="Times New Roman" w:hAnsi="Times New Roman"/>
        </w:rPr>
      </w:pPr>
      <w:r w:rsidRPr="00E07893">
        <w:rPr>
          <w:rFonts w:ascii="Times New Roman" w:hAnsi="Times New Roman"/>
        </w:rPr>
        <w:sym w:font="Symbol" w:char="F0B7"/>
      </w:r>
      <w:r w:rsidRPr="00E07893">
        <w:rPr>
          <w:rFonts w:ascii="Times New Roman" w:hAnsi="Times New Roman"/>
        </w:rPr>
        <w:tab/>
      </w:r>
      <w:r w:rsidR="00AE2911">
        <w:rPr>
          <w:rFonts w:ascii="Times New Roman" w:hAnsi="Times New Roman"/>
        </w:rPr>
        <w:t xml:space="preserve">Jeffersonville will construct approximately 9,200 feet of gravity interceptor </w:t>
      </w:r>
      <w:r w:rsidR="006858DC">
        <w:rPr>
          <w:rFonts w:ascii="Times New Roman" w:hAnsi="Times New Roman"/>
        </w:rPr>
        <w:t>at a cost total cost of $992,</w:t>
      </w:r>
      <w:r w:rsidR="00AE2911">
        <w:rPr>
          <w:rFonts w:ascii="Times New Roman" w:hAnsi="Times New Roman"/>
        </w:rPr>
        <w:t>306</w:t>
      </w:r>
      <w:r w:rsidR="006858DC">
        <w:rPr>
          <w:rFonts w:ascii="Times New Roman" w:hAnsi="Times New Roman"/>
        </w:rPr>
        <w:t>,</w:t>
      </w:r>
      <w:r w:rsidR="00AE2911">
        <w:rPr>
          <w:rFonts w:ascii="Times New Roman" w:hAnsi="Times New Roman"/>
        </w:rPr>
        <w:t xml:space="preserve"> which is approximately </w:t>
      </w:r>
      <w:r w:rsidR="00A511B9">
        <w:rPr>
          <w:rFonts w:ascii="Times New Roman" w:hAnsi="Times New Roman"/>
        </w:rPr>
        <w:t>9</w:t>
      </w:r>
      <w:r w:rsidR="00AE2911">
        <w:rPr>
          <w:rFonts w:ascii="Times New Roman" w:hAnsi="Times New Roman"/>
        </w:rPr>
        <w:t xml:space="preserve"> percent of the total project cost.</w:t>
      </w:r>
      <w:r w:rsidR="00DA6A33">
        <w:rPr>
          <w:rFonts w:ascii="Times New Roman" w:hAnsi="Times New Roman"/>
        </w:rPr>
        <w:t xml:space="preserve"> </w:t>
      </w:r>
    </w:p>
    <w:sectPr w:rsidR="005E253E" w:rsidRPr="00E07893" w:rsidSect="007F3CF6">
      <w:headerReference w:type="first" r:id="rId7"/>
      <w:footerReference w:type="first" r:id="rId8"/>
      <w:pgSz w:w="12240" w:h="15840" w:code="1"/>
      <w:pgMar w:top="1570" w:right="1800" w:bottom="1440" w:left="1152" w:header="720" w:footer="14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D9E" w:rsidRDefault="00FC5D9E">
      <w:r>
        <w:separator/>
      </w:r>
    </w:p>
  </w:endnote>
  <w:endnote w:type="continuationSeparator" w:id="0">
    <w:p w:rsidR="00FC5D9E" w:rsidRDefault="00FC5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0" w:type="dxa"/>
      <w:tblInd w:w="-342" w:type="dxa"/>
      <w:tblLayout w:type="fixed"/>
      <w:tblLook w:val="0000"/>
    </w:tblPr>
    <w:tblGrid>
      <w:gridCol w:w="2700"/>
      <w:gridCol w:w="6030"/>
      <w:gridCol w:w="2880"/>
    </w:tblGrid>
    <w:tr w:rsidR="006858DC">
      <w:trPr>
        <w:cantSplit/>
        <w:trHeight w:val="386"/>
      </w:trPr>
      <w:tc>
        <w:tcPr>
          <w:tcW w:w="2700" w:type="dxa"/>
          <w:vAlign w:val="bottom"/>
        </w:tcPr>
        <w:p w:rsidR="006858DC" w:rsidRDefault="006858DC">
          <w:pPr>
            <w:pStyle w:val="Footer"/>
            <w:rPr>
              <w:i/>
              <w:color w:val="000000"/>
              <w:sz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914400</wp:posOffset>
                </wp:positionH>
                <wp:positionV relativeFrom="page">
                  <wp:posOffset>9692640</wp:posOffset>
                </wp:positionV>
                <wp:extent cx="146050" cy="142240"/>
                <wp:effectExtent l="19050" t="0" r="6350" b="0"/>
                <wp:wrapNone/>
                <wp:docPr id="2" name="Picture 1" descr="Made from recyc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de from recyc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i/>
              <w:color w:val="000000"/>
              <w:sz w:val="16"/>
            </w:rPr>
            <w:t xml:space="preserve">  Recycled Paper</w:t>
          </w:r>
        </w:p>
      </w:tc>
      <w:tc>
        <w:tcPr>
          <w:tcW w:w="6030" w:type="dxa"/>
          <w:vAlign w:val="bottom"/>
        </w:tcPr>
        <w:p w:rsidR="006858DC" w:rsidRDefault="006858DC">
          <w:pPr>
            <w:pStyle w:val="Footer"/>
            <w:jc w:val="center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color w:val="000000"/>
              <w:sz w:val="18"/>
            </w:rPr>
            <w:t>Phone:  (888) 290-0016   Fax:  (317) 234-1338</w:t>
          </w:r>
        </w:p>
      </w:tc>
      <w:tc>
        <w:tcPr>
          <w:tcW w:w="2880" w:type="dxa"/>
          <w:vAlign w:val="bottom"/>
        </w:tcPr>
        <w:p w:rsidR="006858DC" w:rsidRDefault="006858DC">
          <w:pPr>
            <w:pStyle w:val="Footer"/>
            <w:jc w:val="center"/>
            <w:rPr>
              <w:i/>
              <w:color w:val="000000"/>
              <w:sz w:val="16"/>
            </w:rPr>
          </w:pPr>
          <w:r>
            <w:rPr>
              <w:i/>
              <w:color w:val="000000"/>
              <w:sz w:val="16"/>
            </w:rPr>
            <w:t xml:space="preserve">Please Recycle </w:t>
          </w:r>
        </w:p>
      </w:tc>
    </w:tr>
  </w:tbl>
  <w:p w:rsidR="006858DC" w:rsidRDefault="006858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D9E" w:rsidRDefault="00FC5D9E">
      <w:r>
        <w:separator/>
      </w:r>
    </w:p>
  </w:footnote>
  <w:footnote w:type="continuationSeparator" w:id="0">
    <w:p w:rsidR="00FC5D9E" w:rsidRDefault="00FC5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0" w:type="dxa"/>
      <w:tblInd w:w="108" w:type="dxa"/>
      <w:tblLayout w:type="fixed"/>
      <w:tblLook w:val="0000"/>
    </w:tblPr>
    <w:tblGrid>
      <w:gridCol w:w="2970"/>
      <w:gridCol w:w="7020"/>
    </w:tblGrid>
    <w:tr w:rsidR="006858DC" w:rsidTr="00D63432">
      <w:trPr>
        <w:cantSplit/>
        <w:trHeight w:val="360"/>
      </w:trPr>
      <w:tc>
        <w:tcPr>
          <w:tcW w:w="2970" w:type="dxa"/>
          <w:vMerge w:val="restart"/>
        </w:tcPr>
        <w:p w:rsidR="006858DC" w:rsidRPr="002153DA" w:rsidRDefault="006858DC" w:rsidP="002153DA">
          <w:pPr>
            <w:pStyle w:val="Header"/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981075" cy="1057275"/>
                <wp:effectExtent l="19050" t="0" r="9525" b="0"/>
                <wp:docPr id="1" name="Picture 1" descr="IFA_Env_Progs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A_Env_Progs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6858DC" w:rsidRPr="00003D9D" w:rsidRDefault="006858DC" w:rsidP="00494951">
          <w:pPr>
            <w:pStyle w:val="Header"/>
            <w:ind w:left="-108"/>
            <w:jc w:val="right"/>
            <w:rPr>
              <w:rFonts w:ascii="AvantGarde" w:hAnsi="AvantGarde"/>
              <w:color w:val="000000"/>
              <w:sz w:val="30"/>
              <w:szCs w:val="30"/>
              <w:u w:val="single"/>
            </w:rPr>
          </w:pPr>
          <w:r w:rsidRPr="00003D9D">
            <w:rPr>
              <w:rFonts w:ascii="AvantGarde" w:hAnsi="AvantGarde"/>
              <w:color w:val="000000"/>
              <w:spacing w:val="13"/>
              <w:sz w:val="30"/>
              <w:szCs w:val="30"/>
              <w:u w:val="single"/>
            </w:rPr>
            <w:t>State Revolving Fund Loan Program</w:t>
          </w:r>
        </w:p>
      </w:tc>
    </w:tr>
    <w:tr w:rsidR="006858DC" w:rsidRPr="00D63432" w:rsidTr="002153DA">
      <w:trPr>
        <w:cantSplit/>
        <w:trHeight w:val="267"/>
      </w:trPr>
      <w:tc>
        <w:tcPr>
          <w:tcW w:w="2970" w:type="dxa"/>
          <w:vMerge/>
        </w:tcPr>
        <w:p w:rsidR="006858DC" w:rsidRDefault="006858DC" w:rsidP="002153DA">
          <w:pPr>
            <w:pStyle w:val="Header"/>
            <w:rPr>
              <w:color w:val="000000"/>
            </w:rPr>
          </w:pPr>
        </w:p>
      </w:tc>
      <w:tc>
        <w:tcPr>
          <w:tcW w:w="7020" w:type="dxa"/>
        </w:tcPr>
        <w:p w:rsidR="006858DC" w:rsidRPr="00177653" w:rsidRDefault="006858DC" w:rsidP="00177653">
          <w:pPr>
            <w:pStyle w:val="Header"/>
            <w:jc w:val="center"/>
            <w:rPr>
              <w:rFonts w:ascii="AvantGarde" w:hAnsi="AvantGarde"/>
              <w:b/>
              <w:color w:val="000000"/>
              <w:sz w:val="16"/>
              <w:szCs w:val="16"/>
            </w:rPr>
          </w:pPr>
          <w:r w:rsidRPr="00177653">
            <w:rPr>
              <w:rFonts w:ascii="AvantGarde" w:hAnsi="AvantGarde"/>
              <w:b/>
              <w:color w:val="000000"/>
              <w:sz w:val="16"/>
              <w:szCs w:val="24"/>
            </w:rPr>
            <w:t xml:space="preserve">                                                           </w:t>
          </w:r>
          <w:r w:rsidRPr="00177653">
            <w:rPr>
              <w:rFonts w:ascii="AvantGarde" w:hAnsi="AvantGarde"/>
              <w:b/>
              <w:color w:val="000000"/>
              <w:sz w:val="16"/>
              <w:szCs w:val="16"/>
            </w:rPr>
            <w:t xml:space="preserve">an </w:t>
          </w:r>
          <w:smartTag w:uri="urn:schemas-microsoft-com:office:smarttags" w:element="State">
            <w:smartTag w:uri="urn:schemas-microsoft-com:office:smarttags" w:element="place">
              <w:r w:rsidRPr="00177653">
                <w:rPr>
                  <w:rFonts w:ascii="AvantGarde" w:hAnsi="AvantGarde"/>
                  <w:b/>
                  <w:color w:val="000000"/>
                  <w:sz w:val="16"/>
                  <w:szCs w:val="16"/>
                </w:rPr>
                <w:t>Indiana</w:t>
              </w:r>
            </w:smartTag>
          </w:smartTag>
          <w:r w:rsidRPr="00177653">
            <w:rPr>
              <w:rFonts w:ascii="AvantGarde" w:hAnsi="AvantGarde"/>
              <w:b/>
              <w:color w:val="000000"/>
              <w:sz w:val="16"/>
              <w:szCs w:val="16"/>
            </w:rPr>
            <w:t xml:space="preserve"> Finance Authority Environmental Program</w:t>
          </w:r>
        </w:p>
      </w:tc>
    </w:tr>
    <w:tr w:rsidR="006858DC" w:rsidTr="001023D1">
      <w:trPr>
        <w:cantSplit/>
        <w:trHeight w:val="144"/>
      </w:trPr>
      <w:tc>
        <w:tcPr>
          <w:tcW w:w="2970" w:type="dxa"/>
          <w:vMerge/>
        </w:tcPr>
        <w:p w:rsidR="006858DC" w:rsidRDefault="006858DC" w:rsidP="002153DA">
          <w:pPr>
            <w:pStyle w:val="Header"/>
            <w:rPr>
              <w:color w:val="000000"/>
            </w:rPr>
          </w:pPr>
        </w:p>
      </w:tc>
      <w:tc>
        <w:tcPr>
          <w:tcW w:w="7020" w:type="dxa"/>
        </w:tcPr>
        <w:p w:rsidR="006858DC" w:rsidRDefault="006858DC">
          <w:pPr>
            <w:jc w:val="right"/>
            <w:rPr>
              <w:rFonts w:ascii="Arial" w:hAnsi="Arial"/>
              <w:color w:val="000000"/>
              <w:sz w:val="14"/>
            </w:rPr>
          </w:pPr>
        </w:p>
      </w:tc>
    </w:tr>
    <w:tr w:rsidR="006858DC" w:rsidTr="00C42739">
      <w:trPr>
        <w:cantSplit/>
        <w:trHeight w:val="216"/>
      </w:trPr>
      <w:tc>
        <w:tcPr>
          <w:tcW w:w="2970" w:type="dxa"/>
          <w:vMerge/>
        </w:tcPr>
        <w:p w:rsidR="006858DC" w:rsidRDefault="006858DC" w:rsidP="002153DA">
          <w:pPr>
            <w:pStyle w:val="Header"/>
            <w:rPr>
              <w:color w:val="000000"/>
            </w:rPr>
          </w:pPr>
        </w:p>
      </w:tc>
      <w:tc>
        <w:tcPr>
          <w:tcW w:w="7020" w:type="dxa"/>
          <w:vAlign w:val="center"/>
        </w:tcPr>
        <w:p w:rsidR="006858DC" w:rsidRPr="00253C03" w:rsidRDefault="006858DC" w:rsidP="002153DA">
          <w:pPr>
            <w:jc w:val="right"/>
            <w:rPr>
              <w:rFonts w:ascii="AvantGarde" w:hAnsi="AvantGarde" w:cs="Arial"/>
              <w:color w:val="000000"/>
              <w:sz w:val="16"/>
              <w:szCs w:val="16"/>
            </w:rPr>
          </w:pPr>
          <w:smartTag w:uri="urn:schemas-microsoft-com:office:smarttags" w:element="Street">
            <w:smartTag w:uri="urn:schemas-microsoft-com:office:smarttags" w:element="address">
              <w:r w:rsidRPr="00253C03">
                <w:rPr>
                  <w:rFonts w:ascii="AvantGarde" w:hAnsi="AvantGarde" w:cs="Arial"/>
                  <w:color w:val="000000"/>
                  <w:sz w:val="16"/>
                  <w:szCs w:val="16"/>
                </w:rPr>
                <w:t>100 North Senate Avenue</w:t>
              </w:r>
            </w:smartTag>
          </w:smartTag>
          <w:r w:rsidRPr="00253C03">
            <w:rPr>
              <w:rFonts w:ascii="AvantGarde" w:hAnsi="AvantGarde" w:cs="Arial"/>
              <w:color w:val="000000"/>
              <w:sz w:val="16"/>
              <w:szCs w:val="16"/>
            </w:rPr>
            <w:t>, Room 1275</w:t>
          </w:r>
        </w:p>
      </w:tc>
    </w:tr>
    <w:tr w:rsidR="006858DC" w:rsidTr="00C42739">
      <w:trPr>
        <w:cantSplit/>
        <w:trHeight w:val="216"/>
      </w:trPr>
      <w:tc>
        <w:tcPr>
          <w:tcW w:w="2970" w:type="dxa"/>
          <w:vMerge/>
        </w:tcPr>
        <w:p w:rsidR="006858DC" w:rsidRDefault="006858DC" w:rsidP="002153DA">
          <w:pPr>
            <w:pStyle w:val="Header"/>
            <w:rPr>
              <w:color w:val="000000"/>
            </w:rPr>
          </w:pPr>
        </w:p>
      </w:tc>
      <w:tc>
        <w:tcPr>
          <w:tcW w:w="7020" w:type="dxa"/>
          <w:vAlign w:val="center"/>
        </w:tcPr>
        <w:p w:rsidR="006858DC" w:rsidRPr="00253C03" w:rsidRDefault="006858DC" w:rsidP="002153DA">
          <w:pPr>
            <w:jc w:val="right"/>
            <w:rPr>
              <w:rFonts w:ascii="AvantGarde" w:hAnsi="AvantGarde" w:cs="Arial"/>
              <w:color w:val="000000"/>
              <w:sz w:val="16"/>
              <w:szCs w:val="16"/>
            </w:rPr>
          </w:pPr>
          <w:smartTag w:uri="urn:schemas-microsoft-com:office:smarttags" w:element="place">
            <w:smartTag w:uri="urn:schemas-microsoft-com:office:smarttags" w:element="City">
              <w:r w:rsidRPr="00253C03">
                <w:rPr>
                  <w:rFonts w:ascii="AvantGarde" w:hAnsi="AvantGarde" w:cs="Arial"/>
                  <w:color w:val="000000"/>
                  <w:sz w:val="16"/>
                  <w:szCs w:val="16"/>
                </w:rPr>
                <w:t>Indianapolis</w:t>
              </w:r>
            </w:smartTag>
            <w:r w:rsidRPr="00253C03">
              <w:rPr>
                <w:rFonts w:ascii="AvantGarde" w:hAnsi="AvantGarde" w:cs="Arial"/>
                <w:color w:val="000000"/>
                <w:sz w:val="16"/>
                <w:szCs w:val="16"/>
              </w:rPr>
              <w:t xml:space="preserve">, </w:t>
            </w:r>
            <w:smartTag w:uri="urn:schemas-microsoft-com:office:smarttags" w:element="State">
              <w:r w:rsidRPr="00253C03">
                <w:rPr>
                  <w:rFonts w:ascii="AvantGarde" w:hAnsi="AvantGarde" w:cs="Arial"/>
                  <w:color w:val="000000"/>
                  <w:sz w:val="16"/>
                  <w:szCs w:val="16"/>
                </w:rPr>
                <w:t>Indiana</w:t>
              </w:r>
            </w:smartTag>
            <w:r w:rsidRPr="00253C03">
              <w:rPr>
                <w:rFonts w:ascii="AvantGarde" w:hAnsi="AvantGarde" w:cs="Arial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PostalCode">
              <w:r w:rsidRPr="00253C03">
                <w:rPr>
                  <w:rFonts w:ascii="AvantGarde" w:hAnsi="AvantGarde" w:cs="Arial"/>
                  <w:color w:val="000000"/>
                  <w:sz w:val="16"/>
                  <w:szCs w:val="16"/>
                </w:rPr>
                <w:t>46204</w:t>
              </w:r>
            </w:smartTag>
          </w:smartTag>
          <w:r w:rsidRPr="00253C03">
            <w:rPr>
              <w:rFonts w:ascii="AvantGarde" w:hAnsi="AvantGarde" w:cs="Arial"/>
              <w:color w:val="000000"/>
              <w:sz w:val="16"/>
              <w:szCs w:val="16"/>
            </w:rPr>
            <w:t xml:space="preserve"> </w:t>
          </w:r>
        </w:p>
      </w:tc>
    </w:tr>
    <w:tr w:rsidR="006858DC" w:rsidTr="00706A69">
      <w:trPr>
        <w:cantSplit/>
        <w:trHeight w:val="181"/>
      </w:trPr>
      <w:tc>
        <w:tcPr>
          <w:tcW w:w="2970" w:type="dxa"/>
          <w:vMerge/>
        </w:tcPr>
        <w:p w:rsidR="006858DC" w:rsidRDefault="006858DC" w:rsidP="002153DA">
          <w:pPr>
            <w:pStyle w:val="Header"/>
            <w:rPr>
              <w:color w:val="000000"/>
            </w:rPr>
          </w:pPr>
        </w:p>
      </w:tc>
      <w:tc>
        <w:tcPr>
          <w:tcW w:w="7020" w:type="dxa"/>
        </w:tcPr>
        <w:p w:rsidR="006858DC" w:rsidRPr="00253C03" w:rsidRDefault="006858DC" w:rsidP="00706A69">
          <w:pPr>
            <w:pStyle w:val="Header"/>
            <w:jc w:val="right"/>
            <w:rPr>
              <w:rFonts w:ascii="AvantGarde" w:hAnsi="AvantGarde" w:cs="Arial"/>
              <w:color w:val="000000"/>
              <w:sz w:val="16"/>
              <w:szCs w:val="16"/>
            </w:rPr>
          </w:pPr>
          <w:r>
            <w:rPr>
              <w:rFonts w:ascii="AvantGarde" w:hAnsi="AvantGarde" w:cs="Arial"/>
              <w:sz w:val="16"/>
              <w:szCs w:val="16"/>
            </w:rPr>
            <w:t>www.srf.in.gov</w:t>
          </w:r>
        </w:p>
      </w:tc>
    </w:tr>
  </w:tbl>
  <w:p w:rsidR="006858DC" w:rsidRDefault="006858DC" w:rsidP="003A2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0CA0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5C00AD"/>
    <w:multiLevelType w:val="hybridMultilevel"/>
    <w:tmpl w:val="F10E5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10AA7"/>
    <w:multiLevelType w:val="hybridMultilevel"/>
    <w:tmpl w:val="80E0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A759D2"/>
    <w:rsid w:val="00003D9D"/>
    <w:rsid w:val="00004718"/>
    <w:rsid w:val="00010BA1"/>
    <w:rsid w:val="00014EAC"/>
    <w:rsid w:val="00015085"/>
    <w:rsid w:val="0002123B"/>
    <w:rsid w:val="00023287"/>
    <w:rsid w:val="000317F3"/>
    <w:rsid w:val="0003195A"/>
    <w:rsid w:val="00032DF8"/>
    <w:rsid w:val="000420AC"/>
    <w:rsid w:val="000616A3"/>
    <w:rsid w:val="000A3D86"/>
    <w:rsid w:val="000D3B63"/>
    <w:rsid w:val="000D7B4F"/>
    <w:rsid w:val="000F3225"/>
    <w:rsid w:val="001023D1"/>
    <w:rsid w:val="0013234B"/>
    <w:rsid w:val="0013419F"/>
    <w:rsid w:val="00134AB1"/>
    <w:rsid w:val="001622C5"/>
    <w:rsid w:val="0016721E"/>
    <w:rsid w:val="00177653"/>
    <w:rsid w:val="00195C20"/>
    <w:rsid w:val="001B6606"/>
    <w:rsid w:val="001B6D89"/>
    <w:rsid w:val="001E3D37"/>
    <w:rsid w:val="001F09FC"/>
    <w:rsid w:val="001F33C2"/>
    <w:rsid w:val="001F563C"/>
    <w:rsid w:val="002153DA"/>
    <w:rsid w:val="00231F04"/>
    <w:rsid w:val="002367AD"/>
    <w:rsid w:val="0023735C"/>
    <w:rsid w:val="00247D01"/>
    <w:rsid w:val="00247EF8"/>
    <w:rsid w:val="00253C03"/>
    <w:rsid w:val="00287E9B"/>
    <w:rsid w:val="00300948"/>
    <w:rsid w:val="003048D6"/>
    <w:rsid w:val="0030742B"/>
    <w:rsid w:val="00327D48"/>
    <w:rsid w:val="003503B7"/>
    <w:rsid w:val="00351B18"/>
    <w:rsid w:val="003601CF"/>
    <w:rsid w:val="003802E7"/>
    <w:rsid w:val="003A2ABA"/>
    <w:rsid w:val="003D655F"/>
    <w:rsid w:val="0040449C"/>
    <w:rsid w:val="0042148F"/>
    <w:rsid w:val="00432CDE"/>
    <w:rsid w:val="004419EB"/>
    <w:rsid w:val="00443325"/>
    <w:rsid w:val="00445ADD"/>
    <w:rsid w:val="00472550"/>
    <w:rsid w:val="00483B82"/>
    <w:rsid w:val="00492353"/>
    <w:rsid w:val="00492FF7"/>
    <w:rsid w:val="004943CC"/>
    <w:rsid w:val="00494951"/>
    <w:rsid w:val="004B2D72"/>
    <w:rsid w:val="004D47BC"/>
    <w:rsid w:val="004D7CA6"/>
    <w:rsid w:val="00505B4F"/>
    <w:rsid w:val="00515762"/>
    <w:rsid w:val="005212BF"/>
    <w:rsid w:val="005248E9"/>
    <w:rsid w:val="00525F71"/>
    <w:rsid w:val="00530E36"/>
    <w:rsid w:val="00540B79"/>
    <w:rsid w:val="00590E30"/>
    <w:rsid w:val="005A6C0C"/>
    <w:rsid w:val="005C2DD1"/>
    <w:rsid w:val="005D3564"/>
    <w:rsid w:val="005E0528"/>
    <w:rsid w:val="005E253E"/>
    <w:rsid w:val="005F30D6"/>
    <w:rsid w:val="00616613"/>
    <w:rsid w:val="00633223"/>
    <w:rsid w:val="006369D7"/>
    <w:rsid w:val="00637FD3"/>
    <w:rsid w:val="0064049D"/>
    <w:rsid w:val="00675F1F"/>
    <w:rsid w:val="006858DC"/>
    <w:rsid w:val="006A35EB"/>
    <w:rsid w:val="006C5FEE"/>
    <w:rsid w:val="006D65AA"/>
    <w:rsid w:val="006E5716"/>
    <w:rsid w:val="006E5CA6"/>
    <w:rsid w:val="006F1531"/>
    <w:rsid w:val="007023E7"/>
    <w:rsid w:val="00706A69"/>
    <w:rsid w:val="00724FC6"/>
    <w:rsid w:val="007372BF"/>
    <w:rsid w:val="00784C3E"/>
    <w:rsid w:val="007A29B9"/>
    <w:rsid w:val="007A5CEC"/>
    <w:rsid w:val="007A620D"/>
    <w:rsid w:val="007F3CF6"/>
    <w:rsid w:val="008051C1"/>
    <w:rsid w:val="00834EB9"/>
    <w:rsid w:val="00853672"/>
    <w:rsid w:val="00884CA9"/>
    <w:rsid w:val="008918BE"/>
    <w:rsid w:val="00891D1F"/>
    <w:rsid w:val="008A7348"/>
    <w:rsid w:val="008B2403"/>
    <w:rsid w:val="008C650A"/>
    <w:rsid w:val="008D3409"/>
    <w:rsid w:val="008E359A"/>
    <w:rsid w:val="009307FC"/>
    <w:rsid w:val="00934A4D"/>
    <w:rsid w:val="0093786C"/>
    <w:rsid w:val="00943AAC"/>
    <w:rsid w:val="00955B10"/>
    <w:rsid w:val="00957BCD"/>
    <w:rsid w:val="00964392"/>
    <w:rsid w:val="0097204A"/>
    <w:rsid w:val="00975CDA"/>
    <w:rsid w:val="00976F13"/>
    <w:rsid w:val="009966B2"/>
    <w:rsid w:val="00996ECF"/>
    <w:rsid w:val="00997ACC"/>
    <w:rsid w:val="009F0777"/>
    <w:rsid w:val="009F3432"/>
    <w:rsid w:val="00A2118A"/>
    <w:rsid w:val="00A21CFA"/>
    <w:rsid w:val="00A27866"/>
    <w:rsid w:val="00A36648"/>
    <w:rsid w:val="00A37B43"/>
    <w:rsid w:val="00A511B9"/>
    <w:rsid w:val="00A759D2"/>
    <w:rsid w:val="00A86926"/>
    <w:rsid w:val="00AA228E"/>
    <w:rsid w:val="00AA2CD4"/>
    <w:rsid w:val="00AA6495"/>
    <w:rsid w:val="00AC0D0F"/>
    <w:rsid w:val="00AC63B4"/>
    <w:rsid w:val="00AD1A2F"/>
    <w:rsid w:val="00AD58C4"/>
    <w:rsid w:val="00AD726D"/>
    <w:rsid w:val="00AE2911"/>
    <w:rsid w:val="00AF715F"/>
    <w:rsid w:val="00B10D02"/>
    <w:rsid w:val="00B75DCD"/>
    <w:rsid w:val="00B77E3F"/>
    <w:rsid w:val="00BA25C5"/>
    <w:rsid w:val="00BD02C3"/>
    <w:rsid w:val="00BE798F"/>
    <w:rsid w:val="00C15DE2"/>
    <w:rsid w:val="00C278AF"/>
    <w:rsid w:val="00C318E2"/>
    <w:rsid w:val="00C33C1C"/>
    <w:rsid w:val="00C42739"/>
    <w:rsid w:val="00C57CE4"/>
    <w:rsid w:val="00C6333B"/>
    <w:rsid w:val="00C646EB"/>
    <w:rsid w:val="00C87569"/>
    <w:rsid w:val="00C94E92"/>
    <w:rsid w:val="00CA32DA"/>
    <w:rsid w:val="00CB6D0A"/>
    <w:rsid w:val="00CD18A0"/>
    <w:rsid w:val="00D0665C"/>
    <w:rsid w:val="00D129A0"/>
    <w:rsid w:val="00D17148"/>
    <w:rsid w:val="00D27AB2"/>
    <w:rsid w:val="00D32560"/>
    <w:rsid w:val="00D44C87"/>
    <w:rsid w:val="00D475EA"/>
    <w:rsid w:val="00D63432"/>
    <w:rsid w:val="00D74F31"/>
    <w:rsid w:val="00D75222"/>
    <w:rsid w:val="00D933B2"/>
    <w:rsid w:val="00DA6A33"/>
    <w:rsid w:val="00DB33AF"/>
    <w:rsid w:val="00DE44F3"/>
    <w:rsid w:val="00DF0D3A"/>
    <w:rsid w:val="00E07893"/>
    <w:rsid w:val="00E10876"/>
    <w:rsid w:val="00E144B6"/>
    <w:rsid w:val="00E646F0"/>
    <w:rsid w:val="00EC6908"/>
    <w:rsid w:val="00ED37C2"/>
    <w:rsid w:val="00F0125B"/>
    <w:rsid w:val="00F0489A"/>
    <w:rsid w:val="00F06517"/>
    <w:rsid w:val="00F14367"/>
    <w:rsid w:val="00F2401F"/>
    <w:rsid w:val="00F31F9E"/>
    <w:rsid w:val="00F83F4A"/>
    <w:rsid w:val="00F862B5"/>
    <w:rsid w:val="00F97C81"/>
    <w:rsid w:val="00FA24C9"/>
    <w:rsid w:val="00FA3260"/>
    <w:rsid w:val="00FC5D9E"/>
    <w:rsid w:val="00FD2EE9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73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348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8A7348"/>
    <w:pPr>
      <w:numPr>
        <w:numId w:val="1"/>
      </w:numPr>
    </w:pPr>
  </w:style>
  <w:style w:type="paragraph" w:styleId="BodyText">
    <w:name w:val="Body Text"/>
    <w:basedOn w:val="Normal"/>
    <w:link w:val="BodyTextChar"/>
    <w:rsid w:val="008A7348"/>
    <w:rPr>
      <w:rFonts w:ascii="AvantGarde" w:hAnsi="AvantGarde"/>
      <w:color w:val="000000"/>
      <w:sz w:val="24"/>
    </w:rPr>
  </w:style>
  <w:style w:type="character" w:styleId="Hyperlink">
    <w:name w:val="Hyperlink"/>
    <w:basedOn w:val="DefaultParagraphFont"/>
    <w:rsid w:val="005E052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14367"/>
  </w:style>
  <w:style w:type="character" w:customStyle="1" w:styleId="BodyTextChar">
    <w:name w:val="Body Text Char"/>
    <w:basedOn w:val="DefaultParagraphFont"/>
    <w:link w:val="BodyText"/>
    <w:rsid w:val="00F14367"/>
    <w:rPr>
      <w:rFonts w:ascii="AvantGarde" w:hAnsi="AvantGarde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646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45A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5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RF%20Forms\SRF%20Letterhead\Jack'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Jack's letterhead.dot</Template>
  <TotalTime>1</TotalTime>
  <Pages>2</Pages>
  <Words>453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12, 2004</vt:lpstr>
    </vt:vector>
  </TitlesOfParts>
  <Company>IDEM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12, 2004</dc:title>
  <dc:subject/>
  <dc:creator>USER</dc:creator>
  <cp:keywords/>
  <cp:lastModifiedBy>slove</cp:lastModifiedBy>
  <cp:revision>2</cp:revision>
  <cp:lastPrinted>2011-11-02T18:11:00Z</cp:lastPrinted>
  <dcterms:created xsi:type="dcterms:W3CDTF">2012-12-06T15:53:00Z</dcterms:created>
  <dcterms:modified xsi:type="dcterms:W3CDTF">2012-12-06T15:53:00Z</dcterms:modified>
</cp:coreProperties>
</file>