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79" w:rsidRDefault="00B23179" w:rsidP="00B23179">
      <w:pPr>
        <w:pStyle w:val="Title"/>
        <w:jc w:val="center"/>
      </w:pPr>
      <w:r>
        <w:rPr>
          <w:noProof/>
        </w:rPr>
        <w:drawing>
          <wp:anchor distT="0" distB="0" distL="114300" distR="114300" simplePos="0" relativeHeight="251658240" behindDoc="0" locked="0" layoutInCell="1" allowOverlap="1">
            <wp:simplePos x="0" y="0"/>
            <wp:positionH relativeFrom="margin">
              <wp:posOffset>3524250</wp:posOffset>
            </wp:positionH>
            <wp:positionV relativeFrom="paragraph">
              <wp:posOffset>0</wp:posOffset>
            </wp:positionV>
            <wp:extent cx="1666875" cy="1666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OI Logo.jpg"/>
                    <pic:cNvPicPr/>
                  </pic:nvPicPr>
                  <pic:blipFill>
                    <a:blip r:embed="rId7">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anchor>
        </w:drawing>
      </w:r>
    </w:p>
    <w:p w:rsidR="00762069" w:rsidRDefault="00F717F0" w:rsidP="00B23179">
      <w:pPr>
        <w:pStyle w:val="Title"/>
        <w:jc w:val="center"/>
      </w:pPr>
      <w:r>
        <w:t xml:space="preserve">IDOI </w:t>
      </w:r>
      <w:r w:rsidR="00D9035F">
        <w:t>Experience Workbook</w:t>
      </w:r>
      <w:r>
        <w:t xml:space="preserve"> Instructions</w:t>
      </w:r>
    </w:p>
    <w:p w:rsidR="00D9035F" w:rsidRDefault="00D9035F" w:rsidP="00D9035F">
      <w:pPr>
        <w:pStyle w:val="Heading1"/>
      </w:pPr>
      <w:r>
        <w:t>Overview</w:t>
      </w:r>
    </w:p>
    <w:p w:rsidR="00D9035F" w:rsidRDefault="00760D70" w:rsidP="00D9035F">
      <w:r>
        <w:t>For new products, t</w:t>
      </w:r>
      <w:r w:rsidR="00D9035F" w:rsidRPr="00D9035F">
        <w:t xml:space="preserve">he Experience Workbook will capture </w:t>
      </w:r>
      <w:r>
        <w:t xml:space="preserve">the expected average premium, initial projections, and will establish the Portfolio ID for the block.  </w:t>
      </w:r>
      <w:r w:rsidR="009C53BF">
        <w:t>For each subsequent rate related filing</w:t>
      </w:r>
      <w:r w:rsidR="00CE7708">
        <w:t xml:space="preserve"> (renewals)</w:t>
      </w:r>
      <w:r w:rsidR="009C53BF">
        <w:t xml:space="preserve"> for one or more plans/products/riders/forms in th</w:t>
      </w:r>
      <w:bookmarkStart w:id="0" w:name="_GoBack"/>
      <w:bookmarkEnd w:id="0"/>
      <w:r w:rsidR="009C53BF">
        <w:t>e Portfolio, t</w:t>
      </w:r>
      <w:r>
        <w:t>he Experience Workbook will be</w:t>
      </w:r>
      <w:r w:rsidR="00D9035F" w:rsidRPr="00D9035F">
        <w:t xml:space="preserve"> updated </w:t>
      </w:r>
      <w:r w:rsidR="009C53BF">
        <w:t>to track the experience, update the</w:t>
      </w:r>
      <w:r w:rsidR="00D9035F" w:rsidRPr="00D9035F">
        <w:t xml:space="preserve"> proj</w:t>
      </w:r>
      <w:r w:rsidR="00927C54">
        <w:t>ections</w:t>
      </w:r>
      <w:r w:rsidR="009C53BF">
        <w:t>, and to demonstrate that the requested change will help both the individual plans as well as the Portfolio as a whole to achieve the stated target loss ratios.</w:t>
      </w:r>
      <w:r w:rsidR="00927C54">
        <w:t xml:space="preserve">  </w:t>
      </w:r>
      <w:r w:rsidR="008C785D">
        <w:t xml:space="preserve">The historical or projected impact of all riders sold with the plans (base policies) should be included in the experience and projections of the plans (base policies). </w:t>
      </w:r>
      <w:r w:rsidR="00927C54">
        <w:t xml:space="preserve">The outcome of most rate change requests will be heavily influenced by the Indiana </w:t>
      </w:r>
      <w:r w:rsidR="00FD6C53">
        <w:t>experience for the Portfolio and so it is important that the Indiana experience is sufficiently c</w:t>
      </w:r>
      <w:r w:rsidR="009C53BF">
        <w:t>redible</w:t>
      </w:r>
      <w:r w:rsidR="008429E6">
        <w:t>.</w:t>
      </w:r>
    </w:p>
    <w:p w:rsidR="003F2310" w:rsidRDefault="003F2310" w:rsidP="003F2310">
      <w:pPr>
        <w:pStyle w:val="Heading1"/>
      </w:pPr>
      <w:r>
        <w:t>Quick Start Guide</w:t>
      </w:r>
    </w:p>
    <w:p w:rsidR="008C785D" w:rsidRDefault="001B7486" w:rsidP="008C785D">
      <w:pPr>
        <w:pStyle w:val="ListParagraph"/>
        <w:numPr>
          <w:ilvl w:val="0"/>
          <w:numId w:val="7"/>
        </w:numPr>
      </w:pPr>
      <w:r>
        <w:t>The Experience Workbook is r</w:t>
      </w:r>
      <w:r w:rsidR="003F2310">
        <w:t>equired for every rate related filing, inclusive of new products</w:t>
      </w:r>
      <w:r w:rsidR="008F0F8A">
        <w:t>.  The required fields for new products</w:t>
      </w:r>
      <w:r w:rsidR="008F0F8A" w:rsidRPr="008F0F8A">
        <w:t xml:space="preserve"> </w:t>
      </w:r>
      <w:r w:rsidR="008F0F8A">
        <w:t>are given in the Experience Workbook Glossary.</w:t>
      </w:r>
    </w:p>
    <w:p w:rsidR="00760D70" w:rsidRDefault="008F0F8A" w:rsidP="008C785D">
      <w:pPr>
        <w:pStyle w:val="ListParagraph"/>
        <w:numPr>
          <w:ilvl w:val="0"/>
          <w:numId w:val="7"/>
        </w:numPr>
      </w:pPr>
      <w:r>
        <w:t>Do not enter text such as, “N/A” in number fields as it causes errors in the formulas.  Instead, leave the field blank and enter an explanation in the Notes to Reviewer section.</w:t>
      </w:r>
    </w:p>
    <w:p w:rsidR="00760D70" w:rsidRDefault="00760D70" w:rsidP="008C785D">
      <w:pPr>
        <w:pStyle w:val="ListParagraph"/>
        <w:numPr>
          <w:ilvl w:val="0"/>
          <w:numId w:val="7"/>
        </w:numPr>
      </w:pPr>
      <w:r>
        <w:t>Do not change, delete, or type over the formulas in grey cells unless it is a correction mentioned on the Revisions tab of the Experience Workbook Glossary.</w:t>
      </w:r>
    </w:p>
    <w:p w:rsidR="008F0F8A" w:rsidRDefault="008F0F8A" w:rsidP="008C785D">
      <w:pPr>
        <w:pStyle w:val="ListParagraph"/>
        <w:numPr>
          <w:ilvl w:val="0"/>
          <w:numId w:val="7"/>
        </w:numPr>
      </w:pPr>
      <w:r>
        <w:t>Be sure to enter the information for the current filing on the IN Rate Filing History tab (formerly the IN Rate Change History tab).</w:t>
      </w:r>
    </w:p>
    <w:p w:rsidR="00760D70" w:rsidRDefault="008F0F8A" w:rsidP="008C785D">
      <w:pPr>
        <w:pStyle w:val="ListParagraph"/>
        <w:numPr>
          <w:ilvl w:val="0"/>
          <w:numId w:val="7"/>
        </w:numPr>
      </w:pPr>
      <w:r>
        <w:t>Be sure to enter the Pre-Filing Effective Date Premium on a per covered life basis.  For new products, enter the expected average premium per covered life and add a Note to Reviewer to specify if the premium provided is per month, per year</w:t>
      </w:r>
      <w:proofErr w:type="gramStart"/>
      <w:r>
        <w:t>,…</w:t>
      </w:r>
      <w:proofErr w:type="gramEnd"/>
      <w:r w:rsidR="00760D70" w:rsidRPr="00760D70">
        <w:t xml:space="preserve"> </w:t>
      </w:r>
    </w:p>
    <w:p w:rsidR="00760D70" w:rsidRDefault="00760D70" w:rsidP="008C785D">
      <w:pPr>
        <w:pStyle w:val="ListParagraph"/>
        <w:numPr>
          <w:ilvl w:val="0"/>
          <w:numId w:val="7"/>
        </w:numPr>
      </w:pPr>
      <w:r>
        <w:t>The Glossary has definitions, notes for new products, and a record of revisions.</w:t>
      </w:r>
    </w:p>
    <w:p w:rsidR="003F2310" w:rsidRDefault="003F2310" w:rsidP="008C785D">
      <w:pPr>
        <w:pStyle w:val="ListParagraph"/>
        <w:numPr>
          <w:ilvl w:val="0"/>
          <w:numId w:val="7"/>
        </w:numPr>
      </w:pPr>
      <w:r>
        <w:t>Contact the IDOI if you have questions</w:t>
      </w:r>
    </w:p>
    <w:p w:rsidR="00DC1033" w:rsidRDefault="00DC1033" w:rsidP="00DC1033">
      <w:pPr>
        <w:pStyle w:val="ListParagraph"/>
        <w:numPr>
          <w:ilvl w:val="1"/>
          <w:numId w:val="7"/>
        </w:numPr>
      </w:pPr>
      <w:r>
        <w:t>Stephen Chamblee 317-234-7993</w:t>
      </w:r>
    </w:p>
    <w:p w:rsidR="00EE73A1" w:rsidRDefault="00EE73A1" w:rsidP="00EE73A1">
      <w:pPr>
        <w:pStyle w:val="Heading1"/>
      </w:pPr>
      <w:r>
        <w:t>Products</w:t>
      </w:r>
    </w:p>
    <w:p w:rsidR="00EE73A1" w:rsidRPr="00EE73A1" w:rsidRDefault="00EE73A1" w:rsidP="00EE73A1">
      <w:r>
        <w:t>This document will use the term</w:t>
      </w:r>
      <w:r w:rsidR="00933A72">
        <w:t>s</w:t>
      </w:r>
      <w:r>
        <w:t xml:space="preserve"> “</w:t>
      </w:r>
      <w:r w:rsidR="00933A72">
        <w:t>plan” and “</w:t>
      </w:r>
      <w:r>
        <w:t xml:space="preserve">product” </w:t>
      </w:r>
      <w:r w:rsidR="00933A72">
        <w:t>interchangeably and</w:t>
      </w:r>
      <w:r>
        <w:t xml:space="preserve"> generically </w:t>
      </w:r>
      <w:r w:rsidR="00933A72">
        <w:t xml:space="preserve">to </w:t>
      </w:r>
      <w:r>
        <w:t>refer to any forms, plans, or products being filed.</w:t>
      </w:r>
    </w:p>
    <w:p w:rsidR="005E2351" w:rsidRDefault="005E2351" w:rsidP="005E2351">
      <w:pPr>
        <w:pStyle w:val="Heading1"/>
      </w:pPr>
      <w:r>
        <w:t>Portfolios</w:t>
      </w:r>
    </w:p>
    <w:p w:rsidR="005E2351" w:rsidRPr="005E2351" w:rsidRDefault="005E2351" w:rsidP="005E2351">
      <w:r w:rsidRPr="00D9035F">
        <w:t xml:space="preserve">The </w:t>
      </w:r>
      <w:r>
        <w:t>block of business contained in the Experience Workbook will be called the Portfolio and</w:t>
      </w:r>
      <w:r w:rsidRPr="00D9035F">
        <w:t xml:space="preserve"> is identified by its Portfolio ID, which is a SERFF Tracking # chosen by the carrier, and is typically </w:t>
      </w:r>
      <w:r w:rsidR="00F316AD">
        <w:t xml:space="preserve">(but not required to be) </w:t>
      </w:r>
      <w:r w:rsidRPr="00D9035F">
        <w:t xml:space="preserve">the first SERFF Tracking # for a rate filing submitted </w:t>
      </w:r>
      <w:r w:rsidR="00F316AD">
        <w:t xml:space="preserve">on or </w:t>
      </w:r>
      <w:r w:rsidRPr="00D9035F">
        <w:t>after 1/1/201</w:t>
      </w:r>
      <w:r w:rsidR="00970810">
        <w:t>8</w:t>
      </w:r>
      <w:r w:rsidRPr="00D9035F">
        <w:t>.</w:t>
      </w:r>
      <w:r>
        <w:t xml:space="preserve">  </w:t>
      </w:r>
      <w:r w:rsidR="004D3F06">
        <w:t xml:space="preserve">All </w:t>
      </w:r>
      <w:r w:rsidR="00EE73A1">
        <w:t xml:space="preserve">Rate and Form/Rate </w:t>
      </w:r>
      <w:r>
        <w:t xml:space="preserve">Accident and Health filings for </w:t>
      </w:r>
      <w:r w:rsidR="00EE73A1">
        <w:t>both new and revised products</w:t>
      </w:r>
      <w:r>
        <w:t xml:space="preserve"> will need to include a complete</w:t>
      </w:r>
      <w:r w:rsidR="00EE73A1">
        <w:t xml:space="preserve"> and up-to-date</w:t>
      </w:r>
      <w:r>
        <w:t xml:space="preserve"> Experience Workbook.  </w:t>
      </w:r>
      <w:r w:rsidR="00EE73A1">
        <w:t xml:space="preserve">New </w:t>
      </w:r>
      <w:r>
        <w:t xml:space="preserve">products may either be added to an existing Portfolio or may be </w:t>
      </w:r>
      <w:r>
        <w:lastRenderedPageBreak/>
        <w:t xml:space="preserve">tracked as a new Portfolio using a new Experience Workbook.  The determination of what should be included in a Portfolio should be chosen carefully, since updated information for all forms in the Portfolio will be required whenever any </w:t>
      </w:r>
      <w:r w:rsidR="00EE73A1">
        <w:t xml:space="preserve">rate related </w:t>
      </w:r>
      <w:r>
        <w:t xml:space="preserve">changes to </w:t>
      </w:r>
      <w:r w:rsidR="00EE73A1">
        <w:t>any form, plan, or products in the Portfolio are filed</w:t>
      </w:r>
      <w:r>
        <w:t xml:space="preserve">.  Once </w:t>
      </w:r>
      <w:r w:rsidR="00EE73A1">
        <w:t>a product is added to a Portfolio, it is expected to stay in that Portfolio unless otherwise approved by the IDOI.</w:t>
      </w:r>
      <w:r w:rsidR="00606FB7">
        <w:t xml:space="preserve">  </w:t>
      </w:r>
    </w:p>
    <w:p w:rsidR="00D9035F" w:rsidRDefault="00D9035F" w:rsidP="00D9035F">
      <w:pPr>
        <w:pStyle w:val="Heading1"/>
      </w:pPr>
      <w:r>
        <w:t>Plan Overview</w:t>
      </w:r>
    </w:p>
    <w:p w:rsidR="003B6BD9" w:rsidRDefault="00300C8D" w:rsidP="00EE73A1">
      <w:r>
        <w:t xml:space="preserve">The Plan Overview tab gathers basic information for the filing as well as plan level information for the currently requested rated changes.  </w:t>
      </w:r>
      <w:r w:rsidR="00933A72">
        <w:t>In the “Plan Name(s)” field please enter the names of products that are part of this Portfolio.  More than one product may be listed in a single cell if it is expected that the experience for those products will always be pooled.  Plans that are listed separately on the Plan Overview tab can still have their experience pooled on the experience ta</w:t>
      </w:r>
      <w:r w:rsidR="001B7486">
        <w:t>bs.  P</w:t>
      </w:r>
      <w:r w:rsidR="00933A72">
        <w:t xml:space="preserve">ooling can </w:t>
      </w:r>
      <w:r w:rsidR="005B6CF4">
        <w:t xml:space="preserve">be </w:t>
      </w:r>
      <w:r w:rsidR="00933A72">
        <w:t xml:space="preserve">shown on the Plan Overview tab by selecting the same “Name of Experience Sheet” for each pooled plan.  </w:t>
      </w:r>
      <w:r w:rsidR="003B6BD9">
        <w:t xml:space="preserve">In general, rate changes are expected to be uniform across pooled plans.  For this reason, if different rate changes may be needed in future filings, then these plans should be listed on separate rows on the Plan Overview tab and their experience should be listed on separate experience sheets.  </w:t>
      </w:r>
      <w:r w:rsidR="00933A72">
        <w:t>For Medicare Supplement, all standardized or modernized plans must be listed with one plan per row, but the experience may still be pooled on the experience tabs.</w:t>
      </w:r>
    </w:p>
    <w:p w:rsidR="003B6BD9" w:rsidRDefault="003B6BD9" w:rsidP="00EE73A1">
      <w:r>
        <w:t xml:space="preserve">Once the plans have been entered, the earliest “Inception Date” listed along with the “Last Full Year of Experience” and “Last Year for Projections” will </w:t>
      </w:r>
      <w:r w:rsidR="001B7486">
        <w:t xml:space="preserve">automatically </w:t>
      </w:r>
      <w:r>
        <w:t xml:space="preserve">determine the years and coloring on the experience tabs.  </w:t>
      </w:r>
      <w:r w:rsidR="00D75373">
        <w:t>If</w:t>
      </w:r>
      <w:r w:rsidR="0092360B">
        <w:t xml:space="preserve"> blocks o</w:t>
      </w:r>
      <w:r w:rsidR="00D75373">
        <w:t>f business (Portfolios) need to be combined i</w:t>
      </w:r>
      <w:r w:rsidR="0092360B">
        <w:t>t is best practice to</w:t>
      </w:r>
      <w:r w:rsidR="00D75373">
        <w:t xml:space="preserve"> </w:t>
      </w:r>
      <w:r w:rsidR="00C32CCB">
        <w:t>add more</w:t>
      </w:r>
      <w:r w:rsidR="00D75373">
        <w:t xml:space="preserve"> recently implemented plans to P</w:t>
      </w:r>
      <w:r w:rsidR="00C32CCB">
        <w:t>ortfolios with older implementation dates and not vice</w:t>
      </w:r>
      <w:r w:rsidR="0092360B">
        <w:t xml:space="preserve"> versa and to check the dates o</w:t>
      </w:r>
      <w:r w:rsidR="00D75373">
        <w:t>n the experience tabs carefully.</w:t>
      </w:r>
    </w:p>
    <w:p w:rsidR="008C5D50" w:rsidRPr="00EE73A1" w:rsidRDefault="008C5D50" w:rsidP="00EE73A1">
      <w:r>
        <w:t>Also, the plan level information on the Plan Overview tab is part of an Excel table.  Thus, the formulas, formatting, and extra table rows should automatically continue as additional rows of experience are added.</w:t>
      </w:r>
    </w:p>
    <w:p w:rsidR="00D9035F" w:rsidRDefault="004D7015" w:rsidP="00D9035F">
      <w:pPr>
        <w:pStyle w:val="Heading1"/>
      </w:pPr>
      <w:r>
        <w:t>IN Rate Filing History</w:t>
      </w:r>
    </w:p>
    <w:p w:rsidR="005E2351" w:rsidRDefault="00300C8D" w:rsidP="005E2351">
      <w:r>
        <w:t xml:space="preserve">The </w:t>
      </w:r>
      <w:r w:rsidR="004D7015">
        <w:t>IN Rate Filing History</w:t>
      </w:r>
      <w:r>
        <w:t xml:space="preserve"> tab tracks the history of </w:t>
      </w:r>
      <w:r w:rsidR="00D75373">
        <w:t xml:space="preserve">all </w:t>
      </w:r>
      <w:r>
        <w:t xml:space="preserve">rate related filings at the filing level.  </w:t>
      </w:r>
      <w:r w:rsidR="00D75373">
        <w:t>This includes the initial filing since rates are filed in the initial filing.</w:t>
      </w:r>
      <w:r w:rsidR="004D7015">
        <w:t xml:space="preserve">  Approved rate changes (rather than requested rate changes) should be listed.  </w:t>
      </w:r>
      <w:r w:rsidR="00D75373">
        <w:t xml:space="preserve">Disapproved filings should also be included, show 0% as the </w:t>
      </w:r>
      <w:r w:rsidR="0042585E">
        <w:t xml:space="preserve">Rate Increase, and have a Note to Reviewer stating that the filing was disapproved.  </w:t>
      </w:r>
      <w:r>
        <w:t>Any special considerations in a filing</w:t>
      </w:r>
      <w:r w:rsidR="00970810">
        <w:t xml:space="preserve"> can be included in the Notes to Reviewer section for that filing.</w:t>
      </w:r>
      <w:r w:rsidR="00C13E06">
        <w:t xml:space="preserve">  </w:t>
      </w:r>
      <w:r w:rsidR="0042585E">
        <w:t>These notes should explain the main purpose and/or result of the filing, such as: Initial filing, Rate increase approved, Rate increase disapproved, New riders added, New plans added, Benefit changes</w:t>
      </w:r>
      <w:proofErr w:type="gramStart"/>
      <w:r w:rsidR="0042585E">
        <w:t>,…</w:t>
      </w:r>
      <w:proofErr w:type="gramEnd"/>
    </w:p>
    <w:p w:rsidR="00C13E06" w:rsidRDefault="00970810" w:rsidP="005E2351">
      <w:r>
        <w:t>The Portfolio ID field is i</w:t>
      </w:r>
      <w:r w:rsidR="0042585E">
        <w:t xml:space="preserve">ncluded to allow </w:t>
      </w:r>
      <w:r>
        <w:t>carrier</w:t>
      </w:r>
      <w:r w:rsidR="0042585E">
        <w:t>s the flexibility to combine</w:t>
      </w:r>
      <w:r>
        <w:t xml:space="preserve"> portfolios in the future, while still preserving the historical record for each portfolio.</w:t>
      </w:r>
    </w:p>
    <w:p w:rsidR="004D7015" w:rsidRPr="005E2351" w:rsidRDefault="004D7015" w:rsidP="005E2351">
      <w:r>
        <w:t xml:space="preserve">The current filing should also be entered into the </w:t>
      </w:r>
      <w:r w:rsidR="008D6E79">
        <w:t>table and all but the Max/Min fields should match the calculated values in row 6 (Current Averages)</w:t>
      </w:r>
      <w:r>
        <w:t xml:space="preserve">. </w:t>
      </w:r>
    </w:p>
    <w:p w:rsidR="00D9035F" w:rsidRDefault="00D9035F" w:rsidP="00D9035F">
      <w:pPr>
        <w:pStyle w:val="Heading1"/>
      </w:pPr>
      <w:r>
        <w:lastRenderedPageBreak/>
        <w:t>Experience Tabs</w:t>
      </w:r>
    </w:p>
    <w:p w:rsidR="00EE4E33" w:rsidRDefault="00117DAC" w:rsidP="00EE4E33">
      <w:r>
        <w:t>Each experience tab will contain historical and projected experience for both Indiana and nationwide.</w:t>
      </w:r>
      <w:r w:rsidR="00DA44CB">
        <w:t xml:space="preserve">  </w:t>
      </w:r>
      <w:r w:rsidR="00D24970">
        <w:t xml:space="preserve">The </w:t>
      </w:r>
      <w:r w:rsidR="00BF3126">
        <w:t>name of each experience tab must</w:t>
      </w:r>
      <w:r w:rsidR="00D24970">
        <w:t xml:space="preserve"> be of the form “Exp 1, Exp </w:t>
      </w:r>
      <w:proofErr w:type="gramStart"/>
      <w:r w:rsidR="001B7486">
        <w:t>2, …”</w:t>
      </w:r>
      <w:proofErr w:type="gramEnd"/>
      <w:r w:rsidR="001B7486">
        <w:t xml:space="preserve"> </w:t>
      </w:r>
      <w:r w:rsidR="00BF3126">
        <w:t xml:space="preserve">For each experience tab, the name of the associated plans should be listed in the field “Plan(s)” in row 7.  </w:t>
      </w:r>
      <w:r w:rsidR="001B7486">
        <w:t>Several</w:t>
      </w:r>
      <w:r w:rsidR="00D24970">
        <w:t xml:space="preserve"> plans may be pooled together to make reporting the experience a li</w:t>
      </w:r>
      <w:r w:rsidR="00BF3126">
        <w:t>ttle easier and the names of the</w:t>
      </w:r>
      <w:r w:rsidR="00D24970">
        <w:t xml:space="preserve"> pooled plans should be entered in row 7.  </w:t>
      </w:r>
      <w:r w:rsidR="00EE4E33">
        <w:t xml:space="preserve">The last historical year is the most recent year that </w:t>
      </w:r>
      <w:r w:rsidR="0025460D">
        <w:t>completed its calendar year</w:t>
      </w:r>
      <w:r w:rsidR="00EE4E33">
        <w:t xml:space="preserve"> of experience.  The first projected year is a full year projection for the first year that has </w:t>
      </w:r>
      <w:r w:rsidR="0025460D">
        <w:t xml:space="preserve">not yet completed its calendar year of </w:t>
      </w:r>
      <w:r w:rsidR="00EE4E33">
        <w:t xml:space="preserve">experience.  </w:t>
      </w:r>
    </w:p>
    <w:p w:rsidR="00EE4E33" w:rsidRDefault="00EE4E33" w:rsidP="00EE4E33">
      <w:r>
        <w:t>Historical experience should:</w:t>
      </w:r>
    </w:p>
    <w:p w:rsidR="00EE4E33" w:rsidRDefault="00EE4E33" w:rsidP="00EE4E33">
      <w:pPr>
        <w:pStyle w:val="ListParagraph"/>
        <w:numPr>
          <w:ilvl w:val="0"/>
          <w:numId w:val="5"/>
        </w:numPr>
      </w:pPr>
      <w:r>
        <w:t>Be reported in actual and not present value terms,</w:t>
      </w:r>
    </w:p>
    <w:p w:rsidR="005B6CF4" w:rsidRDefault="005B6CF4" w:rsidP="005B6CF4">
      <w:pPr>
        <w:pStyle w:val="ListParagraph"/>
        <w:numPr>
          <w:ilvl w:val="0"/>
          <w:numId w:val="5"/>
        </w:numPr>
      </w:pPr>
      <w:r>
        <w:t>And be reported from inception.</w:t>
      </w:r>
    </w:p>
    <w:p w:rsidR="00EE4E33" w:rsidRDefault="00EE4E33" w:rsidP="00EE4E33">
      <w:r>
        <w:t>Projections should:</w:t>
      </w:r>
    </w:p>
    <w:p w:rsidR="00EE4E33" w:rsidRDefault="00EE4E33" w:rsidP="00EE4E33">
      <w:pPr>
        <w:pStyle w:val="ListParagraph"/>
        <w:numPr>
          <w:ilvl w:val="0"/>
          <w:numId w:val="4"/>
        </w:numPr>
      </w:pPr>
      <w:r>
        <w:t>Assume the currently requested rate changes are approved,</w:t>
      </w:r>
    </w:p>
    <w:p w:rsidR="00EE4E33" w:rsidRDefault="008C0AEB" w:rsidP="00EE4E33">
      <w:pPr>
        <w:pStyle w:val="ListParagraph"/>
        <w:numPr>
          <w:ilvl w:val="0"/>
          <w:numId w:val="4"/>
        </w:numPr>
      </w:pPr>
      <w:r>
        <w:t>B</w:t>
      </w:r>
      <w:r w:rsidR="00EE4E33">
        <w:t xml:space="preserve">e based on </w:t>
      </w:r>
      <w:r>
        <w:t xml:space="preserve">runoff of </w:t>
      </w:r>
      <w:r w:rsidR="00EE4E33">
        <w:t xml:space="preserve">current enrollment </w:t>
      </w:r>
      <w:r>
        <w:t>(or an assumed first year enrollment for new plans)</w:t>
      </w:r>
      <w:r w:rsidR="00EE4E33">
        <w:t>,</w:t>
      </w:r>
    </w:p>
    <w:p w:rsidR="00EE4E33" w:rsidRDefault="005B6CF4" w:rsidP="00EE4E33">
      <w:pPr>
        <w:pStyle w:val="ListParagraph"/>
        <w:numPr>
          <w:ilvl w:val="0"/>
          <w:numId w:val="4"/>
        </w:numPr>
      </w:pPr>
      <w:r>
        <w:t>If used, i</w:t>
      </w:r>
      <w:r w:rsidR="00EE4E33">
        <w:t>nclude premium trend only for 12-18 months after the effective date,</w:t>
      </w:r>
    </w:p>
    <w:p w:rsidR="00EE4E33" w:rsidRDefault="00EE4E33" w:rsidP="00606FB7">
      <w:pPr>
        <w:pStyle w:val="ListParagraph"/>
        <w:numPr>
          <w:ilvl w:val="0"/>
          <w:numId w:val="4"/>
        </w:numPr>
      </w:pPr>
      <w:r>
        <w:t xml:space="preserve">And include claims trend </w:t>
      </w:r>
      <w:r w:rsidR="00DC34E7">
        <w:t xml:space="preserve">and aging </w:t>
      </w:r>
      <w:r>
        <w:t>for all years.</w:t>
      </w:r>
    </w:p>
    <w:p w:rsidR="00EE4E33" w:rsidRDefault="00EE4E33" w:rsidP="00EE4E33">
      <w:pPr>
        <w:pStyle w:val="Heading2"/>
        <w:rPr>
          <w:u w:val="single"/>
        </w:rPr>
      </w:pPr>
      <w:r w:rsidRPr="00EE4E33">
        <w:rPr>
          <w:u w:val="single"/>
        </w:rPr>
        <w:t>Creating New Experience Sheets</w:t>
      </w:r>
    </w:p>
    <w:p w:rsidR="00EE4E33" w:rsidRDefault="00EE4E33" w:rsidP="00EE4E33">
      <w:r>
        <w:t>To create a new experience follow these steps:</w:t>
      </w:r>
    </w:p>
    <w:p w:rsidR="00093AC9" w:rsidRDefault="00093AC9" w:rsidP="00EE4E33">
      <w:pPr>
        <w:pStyle w:val="ListParagraph"/>
        <w:numPr>
          <w:ilvl w:val="0"/>
          <w:numId w:val="6"/>
        </w:numPr>
      </w:pPr>
      <w:r>
        <w:t>Unprotect the workbook.</w:t>
      </w:r>
    </w:p>
    <w:p w:rsidR="00EE4E33" w:rsidRDefault="00EE4E33" w:rsidP="00EE4E33">
      <w:pPr>
        <w:pStyle w:val="ListParagraph"/>
        <w:numPr>
          <w:ilvl w:val="0"/>
          <w:numId w:val="6"/>
        </w:numPr>
      </w:pPr>
      <w:r>
        <w:t>Right click on the tab name “Blank Exp.”</w:t>
      </w:r>
    </w:p>
    <w:p w:rsidR="00EE4E33" w:rsidRDefault="00EE4E33" w:rsidP="00EE4E33">
      <w:pPr>
        <w:pStyle w:val="ListParagraph"/>
        <w:numPr>
          <w:ilvl w:val="0"/>
          <w:numId w:val="6"/>
        </w:numPr>
      </w:pPr>
      <w:r>
        <w:t>Select “Move or Copy” from the menu.</w:t>
      </w:r>
    </w:p>
    <w:p w:rsidR="00EE4E33" w:rsidRDefault="00EE4E33" w:rsidP="00EE4E33">
      <w:pPr>
        <w:pStyle w:val="ListParagraph"/>
        <w:numPr>
          <w:ilvl w:val="0"/>
          <w:numId w:val="6"/>
        </w:numPr>
      </w:pPr>
      <w:r>
        <w:t>Check the box at the bottom of the menu to “Create a copy.”</w:t>
      </w:r>
    </w:p>
    <w:p w:rsidR="00EE4E33" w:rsidRDefault="00EE4E33" w:rsidP="00EE4E33">
      <w:pPr>
        <w:pStyle w:val="ListParagraph"/>
        <w:numPr>
          <w:ilvl w:val="0"/>
          <w:numId w:val="6"/>
        </w:numPr>
      </w:pPr>
      <w:r>
        <w:t>Select the sheet “</w:t>
      </w:r>
      <w:proofErr w:type="spellStart"/>
      <w:r>
        <w:t>EndExp</w:t>
      </w:r>
      <w:proofErr w:type="spellEnd"/>
      <w:r>
        <w:t>” as the “Before sheet” to insert the new blank experience sheet in-between “</w:t>
      </w:r>
      <w:proofErr w:type="spellStart"/>
      <w:r>
        <w:t>StartExp</w:t>
      </w:r>
      <w:proofErr w:type="spellEnd"/>
      <w:r>
        <w:t>” and “</w:t>
      </w:r>
      <w:proofErr w:type="spellStart"/>
      <w:r>
        <w:t>EndExp</w:t>
      </w:r>
      <w:proofErr w:type="spellEnd"/>
      <w:r>
        <w:t>.”</w:t>
      </w:r>
    </w:p>
    <w:p w:rsidR="00093AC9" w:rsidRDefault="00093AC9" w:rsidP="00EE4E33">
      <w:pPr>
        <w:pStyle w:val="ListParagraph"/>
        <w:numPr>
          <w:ilvl w:val="0"/>
          <w:numId w:val="6"/>
        </w:numPr>
      </w:pPr>
      <w:r>
        <w:t>Press OK and then rename the new sheet using the format of “Exp 1, Exp 2, …”</w:t>
      </w:r>
    </w:p>
    <w:p w:rsidR="00093AC9" w:rsidRDefault="00093AC9" w:rsidP="00EE4E33">
      <w:pPr>
        <w:pStyle w:val="ListParagraph"/>
        <w:numPr>
          <w:ilvl w:val="0"/>
          <w:numId w:val="6"/>
        </w:numPr>
      </w:pPr>
      <w:r>
        <w:t>Protect the workbook.</w:t>
      </w:r>
    </w:p>
    <w:p w:rsidR="00EE4E33" w:rsidRPr="00EE4E33" w:rsidRDefault="00EE4E33" w:rsidP="00EE4E33">
      <w:pPr>
        <w:pStyle w:val="Heading2"/>
        <w:rPr>
          <w:u w:val="single"/>
        </w:rPr>
      </w:pPr>
      <w:r>
        <w:rPr>
          <w:u w:val="single"/>
        </w:rPr>
        <w:t>Organizing New Experience Sheets</w:t>
      </w:r>
    </w:p>
    <w:p w:rsidR="00EE3252" w:rsidRDefault="00D24970" w:rsidP="00606FB7">
      <w:pPr>
        <w:rPr>
          <w:b/>
        </w:rPr>
      </w:pPr>
      <w:r>
        <w:t>Each experience tab must be placed between the tabs “</w:t>
      </w:r>
      <w:proofErr w:type="spellStart"/>
      <w:r>
        <w:t>StartExp</w:t>
      </w:r>
      <w:proofErr w:type="spellEnd"/>
      <w:r>
        <w:t>” and “</w:t>
      </w:r>
      <w:proofErr w:type="spellStart"/>
      <w:r>
        <w:t>EndExp</w:t>
      </w:r>
      <w:proofErr w:type="spellEnd"/>
      <w:r>
        <w:t>” tabs to be i</w:t>
      </w:r>
      <w:r w:rsidR="00B534B3">
        <w:t xml:space="preserve">ncluded in the formulas on the Aggregate tab. </w:t>
      </w:r>
      <w:r w:rsidR="00B534B3" w:rsidRPr="00EE3252">
        <w:rPr>
          <w:b/>
        </w:rPr>
        <w:t xml:space="preserve"> </w:t>
      </w:r>
      <w:r w:rsidR="00EE3252" w:rsidRPr="00EE3252">
        <w:t>Here is an important caution</w:t>
      </w:r>
      <w:r w:rsidR="00EE3252">
        <w:t xml:space="preserve"> to keep in mind when rearranging the tabs</w:t>
      </w:r>
      <w:r w:rsidR="00EE3252" w:rsidRPr="00EE3252">
        <w:t>:</w:t>
      </w:r>
    </w:p>
    <w:p w:rsidR="00EE3252" w:rsidRDefault="00EE3252" w:rsidP="00EE3252">
      <w:pPr>
        <w:jc w:val="center"/>
      </w:pPr>
      <w:r>
        <w:rPr>
          <w:b/>
        </w:rPr>
        <w:t>“</w:t>
      </w:r>
      <w:r w:rsidRPr="00EE3252">
        <w:rPr>
          <w:b/>
        </w:rPr>
        <w:t>It is also imperative that “</w:t>
      </w:r>
      <w:proofErr w:type="spellStart"/>
      <w:r w:rsidRPr="00EE3252">
        <w:rPr>
          <w:b/>
        </w:rPr>
        <w:t>StartExp</w:t>
      </w:r>
      <w:proofErr w:type="spellEnd"/>
      <w:r w:rsidRPr="00EE3252">
        <w:rPr>
          <w:b/>
        </w:rPr>
        <w:t>” always be to the left of “</w:t>
      </w:r>
      <w:proofErr w:type="spellStart"/>
      <w:r w:rsidRPr="00EE3252">
        <w:rPr>
          <w:b/>
        </w:rPr>
        <w:t>EndExp</w:t>
      </w:r>
      <w:proofErr w:type="spellEnd"/>
      <w:r w:rsidRPr="00EE3252">
        <w:rPr>
          <w:b/>
        </w:rPr>
        <w:t>” as reversing the two permanently breaks the formulas on the Aggregate tab.</w:t>
      </w:r>
      <w:r>
        <w:t>”</w:t>
      </w:r>
    </w:p>
    <w:p w:rsidR="00093AC9" w:rsidRDefault="00093AC9" w:rsidP="00093AC9">
      <w:r>
        <w:t>Also, keep in mind that you will need to unprotect the workbook to be able to rearrange the tabs.</w:t>
      </w:r>
    </w:p>
    <w:p w:rsidR="00093AC9" w:rsidRDefault="00093AC9" w:rsidP="00093AC9">
      <w:pPr>
        <w:pStyle w:val="Heading2"/>
        <w:rPr>
          <w:u w:val="single"/>
        </w:rPr>
      </w:pPr>
      <w:r>
        <w:rPr>
          <w:u w:val="single"/>
        </w:rPr>
        <w:t>Entering Experience</w:t>
      </w:r>
    </w:p>
    <w:p w:rsidR="00093AC9" w:rsidRDefault="00093AC9" w:rsidP="00093AC9">
      <w:r>
        <w:t xml:space="preserve">The Experience Workbook is meant to be a document that gets updated with each filing and thus after its </w:t>
      </w:r>
      <w:r w:rsidR="008C5D50">
        <w:t>initial setup, there should be very little information that will need to be entered.  However, you may desire to copy and paste during the initial setup.  When you do this, we recommend that you paste-as-values in order to keep from overriding the formatting built into the workbook.  This will help the formatting stay consistent, will make it easier to read and maintain.</w:t>
      </w:r>
    </w:p>
    <w:p w:rsidR="008C5D50" w:rsidRPr="00093AC9" w:rsidRDefault="008C5D50" w:rsidP="00093AC9">
      <w:r>
        <w:lastRenderedPageBreak/>
        <w:t>Also, the experience data for Indiana and Nationwide is part of an Excel table.  Thus, the formulas, formatting, and extra table rows should automatically continue as additional rows of experience are added.</w:t>
      </w:r>
    </w:p>
    <w:p w:rsidR="00D9035F" w:rsidRDefault="00D9035F" w:rsidP="00D9035F">
      <w:pPr>
        <w:pStyle w:val="Heading1"/>
      </w:pPr>
      <w:r>
        <w:t>Aggregate Tab</w:t>
      </w:r>
    </w:p>
    <w:p w:rsidR="00300C8D" w:rsidRDefault="00EA5832" w:rsidP="00300C8D">
      <w:r>
        <w:t>The Aggregate Tab combines all of the experience by year for all plans whose experience tabs are between the “</w:t>
      </w:r>
      <w:proofErr w:type="spellStart"/>
      <w:r>
        <w:t>StartExp</w:t>
      </w:r>
      <w:proofErr w:type="spellEnd"/>
      <w:r>
        <w:t>” tab and the “</w:t>
      </w:r>
      <w:proofErr w:type="spellStart"/>
      <w:r>
        <w:t>EndExp</w:t>
      </w:r>
      <w:proofErr w:type="spellEnd"/>
      <w:r>
        <w:t>” tab.</w:t>
      </w:r>
      <w:r w:rsidR="00D2038B">
        <w:t xml:space="preserve">  This setup allows the workbook to include and summarize any number of plans while minimizing the size of the workbook.  </w:t>
      </w:r>
    </w:p>
    <w:p w:rsidR="00D2038B" w:rsidRDefault="005B6750" w:rsidP="00D2038B">
      <w:pPr>
        <w:pStyle w:val="Heading2"/>
        <w:rPr>
          <w:u w:val="single"/>
        </w:rPr>
      </w:pPr>
      <w:r>
        <w:rPr>
          <w:u w:val="single"/>
        </w:rPr>
        <w:t>Annualized Rate Increase</w:t>
      </w:r>
    </w:p>
    <w:p w:rsidR="00D2038B" w:rsidRDefault="00D2038B" w:rsidP="00D2038B">
      <w:r>
        <w:t xml:space="preserve">Since there can </w:t>
      </w:r>
      <w:r w:rsidR="005B6CF4">
        <w:t xml:space="preserve">be </w:t>
      </w:r>
      <w:r>
        <w:t>multiple rate changes in a given year, the Experience Workbook asks for an overall “Annualized Rate Increase” for each year, which could be negative in the case of rate dec</w:t>
      </w:r>
      <w:r w:rsidR="0091222F">
        <w:t>reases.  If there was not a rate</w:t>
      </w:r>
      <w:r>
        <w:t xml:space="preserve"> change </w:t>
      </w:r>
      <w:r w:rsidR="005B6750">
        <w:t>in a give</w:t>
      </w:r>
      <w:r w:rsidR="0091222F">
        <w:t>n year, then please enter “0.”</w:t>
      </w:r>
      <w:r w:rsidR="00F83227">
        <w:t xml:space="preserve">  Rate changes due to premium trend should be in</w:t>
      </w:r>
      <w:r w:rsidR="005F22A9">
        <w:t>cluded.  Remember that a schedule of rates</w:t>
      </w:r>
      <w:r w:rsidR="00F83227">
        <w:t xml:space="preserve"> may only be changed by applying premium trend during the first 18 months after approval.</w:t>
      </w:r>
    </w:p>
    <w:p w:rsidR="005B6750" w:rsidRDefault="005B6750" w:rsidP="005B6750">
      <w:pPr>
        <w:pStyle w:val="Heading2"/>
        <w:rPr>
          <w:u w:val="single"/>
        </w:rPr>
      </w:pPr>
      <w:r w:rsidRPr="005B6750">
        <w:rPr>
          <w:u w:val="single"/>
        </w:rPr>
        <w:t>Expected Loss Ratio Curve</w:t>
      </w:r>
    </w:p>
    <w:p w:rsidR="00D9035F" w:rsidRPr="006869F9" w:rsidRDefault="005F22A9" w:rsidP="00BC343D">
      <w:r>
        <w:t>This is t</w:t>
      </w:r>
      <w:r w:rsidR="005B6750" w:rsidRPr="005B6750">
        <w:t xml:space="preserve">he predicted loss ratio curve obtained by applying the original durational loss ratio assumptions to the actual covered lives for the past and to current covered lives (adjusting for lapses) for projections.  For example, if the durational loss ratios were originally assumed to be 55% in the first duration and 65% in the second duration, and in 2010 there were 200 first duration covered lives and 100 second duration covered lives, then the expected loss ratio for 2010 would </w:t>
      </w:r>
      <w:r w:rsidR="005B6750">
        <w:t>be</w:t>
      </w:r>
      <w:r w:rsidR="005B6750">
        <w:br/>
      </w:r>
      <m:oMathPara>
        <m:oMath>
          <m:f>
            <m:fPr>
              <m:ctrlPr>
                <w:rPr>
                  <w:rFonts w:ascii="Cambria Math" w:hAnsi="Cambria Math"/>
                  <w:i/>
                </w:rPr>
              </m:ctrlPr>
            </m:fPr>
            <m:num>
              <m:r>
                <w:rPr>
                  <w:rFonts w:ascii="Cambria Math" w:hAnsi="Cambria Math"/>
                </w:rPr>
                <m:t>.55</m:t>
              </m:r>
              <m:d>
                <m:dPr>
                  <m:ctrlPr>
                    <w:rPr>
                      <w:rFonts w:ascii="Cambria Math" w:hAnsi="Cambria Math"/>
                      <w:i/>
                    </w:rPr>
                  </m:ctrlPr>
                </m:dPr>
                <m:e>
                  <m:r>
                    <w:rPr>
                      <w:rFonts w:ascii="Cambria Math" w:hAnsi="Cambria Math"/>
                    </w:rPr>
                    <m:t>200</m:t>
                  </m:r>
                </m:e>
              </m:d>
              <m:r>
                <w:rPr>
                  <w:rFonts w:ascii="Cambria Math" w:hAnsi="Cambria Math"/>
                </w:rPr>
                <m:t>+.65</m:t>
              </m:r>
              <m:d>
                <m:dPr>
                  <m:ctrlPr>
                    <w:rPr>
                      <w:rFonts w:ascii="Cambria Math" w:hAnsi="Cambria Math"/>
                      <w:i/>
                    </w:rPr>
                  </m:ctrlPr>
                </m:dPr>
                <m:e>
                  <m:r>
                    <w:rPr>
                      <w:rFonts w:ascii="Cambria Math" w:hAnsi="Cambria Math"/>
                    </w:rPr>
                    <m:t>100</m:t>
                  </m:r>
                </m:e>
              </m:d>
            </m:num>
            <m:den>
              <m:r>
                <w:rPr>
                  <w:rFonts w:ascii="Cambria Math" w:hAnsi="Cambria Math"/>
                </w:rPr>
                <m:t>200+100</m:t>
              </m:r>
            </m:den>
          </m:f>
          <m:r>
            <w:rPr>
              <w:rFonts w:ascii="Cambria Math" w:hAnsi="Cambria Math"/>
            </w:rPr>
            <m:t>=58.3%.</m:t>
          </m:r>
          <m:r>
            <m:rPr>
              <m:sty m:val="p"/>
            </m:rPr>
            <w:rPr>
              <w:rFonts w:eastAsiaTheme="minorEastAsia"/>
            </w:rPr>
            <w:br/>
          </m:r>
        </m:oMath>
      </m:oMathPara>
    </w:p>
    <w:p w:rsidR="006869F9" w:rsidRPr="006869F9" w:rsidRDefault="006869F9" w:rsidP="006869F9"/>
    <w:sectPr w:rsidR="006869F9" w:rsidRPr="006869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06" w:rsidRDefault="009B1F06" w:rsidP="009B1F06">
      <w:pPr>
        <w:spacing w:after="0" w:line="240" w:lineRule="auto"/>
      </w:pPr>
      <w:r>
        <w:separator/>
      </w:r>
    </w:p>
  </w:endnote>
  <w:endnote w:type="continuationSeparator" w:id="0">
    <w:p w:rsidR="009B1F06" w:rsidRDefault="009B1F06" w:rsidP="009B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795482"/>
      <w:docPartObj>
        <w:docPartGallery w:val="Page Numbers (Bottom of Page)"/>
        <w:docPartUnique/>
      </w:docPartObj>
    </w:sdtPr>
    <w:sdtEndPr>
      <w:rPr>
        <w:noProof/>
      </w:rPr>
    </w:sdtEndPr>
    <w:sdtContent>
      <w:p w:rsidR="00BC343D" w:rsidRDefault="00BC343D">
        <w:pPr>
          <w:pStyle w:val="Footer"/>
          <w:jc w:val="right"/>
        </w:pPr>
        <w:r>
          <w:fldChar w:fldCharType="begin"/>
        </w:r>
        <w:r>
          <w:instrText xml:space="preserve"> PAGE   \* MERGEFORMAT </w:instrText>
        </w:r>
        <w:r>
          <w:fldChar w:fldCharType="separate"/>
        </w:r>
        <w:r w:rsidR="005F22A9">
          <w:rPr>
            <w:noProof/>
          </w:rPr>
          <w:t>4</w:t>
        </w:r>
        <w:r>
          <w:rPr>
            <w:noProof/>
          </w:rPr>
          <w:fldChar w:fldCharType="end"/>
        </w:r>
      </w:p>
    </w:sdtContent>
  </w:sdt>
  <w:p w:rsidR="009B1F06" w:rsidRDefault="009B1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06" w:rsidRDefault="009B1F06" w:rsidP="009B1F06">
      <w:pPr>
        <w:spacing w:after="0" w:line="240" w:lineRule="auto"/>
      </w:pPr>
      <w:r>
        <w:separator/>
      </w:r>
    </w:p>
  </w:footnote>
  <w:footnote w:type="continuationSeparator" w:id="0">
    <w:p w:rsidR="009B1F06" w:rsidRDefault="009B1F06" w:rsidP="009B1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06" w:rsidRDefault="005F22A9" w:rsidP="00C56034">
    <w:pPr>
      <w:pStyle w:val="Header"/>
      <w:jc w:val="right"/>
    </w:pPr>
    <w:r>
      <w:t>Last updated: 4/</w:t>
    </w:r>
    <w:r w:rsidR="003538D2">
      <w:t>9</w:t>
    </w:r>
    <w: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60D6B"/>
    <w:multiLevelType w:val="hybridMultilevel"/>
    <w:tmpl w:val="08481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85764"/>
    <w:multiLevelType w:val="hybridMultilevel"/>
    <w:tmpl w:val="2D32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92F"/>
    <w:multiLevelType w:val="hybridMultilevel"/>
    <w:tmpl w:val="A3C2E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80B0E"/>
    <w:multiLevelType w:val="hybridMultilevel"/>
    <w:tmpl w:val="8470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B26F6"/>
    <w:multiLevelType w:val="hybridMultilevel"/>
    <w:tmpl w:val="A8847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B5FE6"/>
    <w:multiLevelType w:val="hybridMultilevel"/>
    <w:tmpl w:val="943C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90200"/>
    <w:multiLevelType w:val="hybridMultilevel"/>
    <w:tmpl w:val="2D32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45A04"/>
    <w:multiLevelType w:val="hybridMultilevel"/>
    <w:tmpl w:val="37A41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D4384"/>
    <w:multiLevelType w:val="hybridMultilevel"/>
    <w:tmpl w:val="B8F4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36B91"/>
    <w:multiLevelType w:val="hybridMultilevel"/>
    <w:tmpl w:val="C1C0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8"/>
  </w:num>
  <w:num w:numId="5">
    <w:abstractNumId w:val="4"/>
  </w:num>
  <w:num w:numId="6">
    <w:abstractNumId w:val="2"/>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5F"/>
    <w:rsid w:val="00044C2B"/>
    <w:rsid w:val="00093AC9"/>
    <w:rsid w:val="000A533B"/>
    <w:rsid w:val="00117DAC"/>
    <w:rsid w:val="0016714B"/>
    <w:rsid w:val="001B7486"/>
    <w:rsid w:val="0025460D"/>
    <w:rsid w:val="002B0CA2"/>
    <w:rsid w:val="002D5C8D"/>
    <w:rsid w:val="00300C8D"/>
    <w:rsid w:val="003538D2"/>
    <w:rsid w:val="003B6BD9"/>
    <w:rsid w:val="003F2310"/>
    <w:rsid w:val="0042585E"/>
    <w:rsid w:val="004D3F06"/>
    <w:rsid w:val="004D7015"/>
    <w:rsid w:val="005B6750"/>
    <w:rsid w:val="005B6CF4"/>
    <w:rsid w:val="005E2351"/>
    <w:rsid w:val="005E7E8F"/>
    <w:rsid w:val="005F22A9"/>
    <w:rsid w:val="00606FB7"/>
    <w:rsid w:val="0066006C"/>
    <w:rsid w:val="006869F9"/>
    <w:rsid w:val="006A7E9B"/>
    <w:rsid w:val="00730C9A"/>
    <w:rsid w:val="00760D70"/>
    <w:rsid w:val="008429E6"/>
    <w:rsid w:val="0088308E"/>
    <w:rsid w:val="008C0AEB"/>
    <w:rsid w:val="008C5D50"/>
    <w:rsid w:val="008C785D"/>
    <w:rsid w:val="008D6E79"/>
    <w:rsid w:val="008F0F8A"/>
    <w:rsid w:val="0091222F"/>
    <w:rsid w:val="0092360B"/>
    <w:rsid w:val="00927C54"/>
    <w:rsid w:val="00933A72"/>
    <w:rsid w:val="00970810"/>
    <w:rsid w:val="009B1F06"/>
    <w:rsid w:val="009C53BF"/>
    <w:rsid w:val="00A17C22"/>
    <w:rsid w:val="00A76A79"/>
    <w:rsid w:val="00B23179"/>
    <w:rsid w:val="00B47640"/>
    <w:rsid w:val="00B534B3"/>
    <w:rsid w:val="00BA27CB"/>
    <w:rsid w:val="00BC343D"/>
    <w:rsid w:val="00BF3126"/>
    <w:rsid w:val="00C13E06"/>
    <w:rsid w:val="00C32CCB"/>
    <w:rsid w:val="00C56034"/>
    <w:rsid w:val="00CE7708"/>
    <w:rsid w:val="00D2038B"/>
    <w:rsid w:val="00D24970"/>
    <w:rsid w:val="00D75373"/>
    <w:rsid w:val="00D9035F"/>
    <w:rsid w:val="00DA44CB"/>
    <w:rsid w:val="00DC1033"/>
    <w:rsid w:val="00DC34E7"/>
    <w:rsid w:val="00EA5832"/>
    <w:rsid w:val="00EE3252"/>
    <w:rsid w:val="00EE4E33"/>
    <w:rsid w:val="00EE73A1"/>
    <w:rsid w:val="00F316AD"/>
    <w:rsid w:val="00F55A33"/>
    <w:rsid w:val="00F717F0"/>
    <w:rsid w:val="00F83227"/>
    <w:rsid w:val="00FD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35436-CEEE-4792-8596-5E7FF342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0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4E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0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9035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06FB7"/>
    <w:pPr>
      <w:ind w:left="720"/>
      <w:contextualSpacing/>
    </w:pPr>
  </w:style>
  <w:style w:type="character" w:customStyle="1" w:styleId="Heading2Char">
    <w:name w:val="Heading 2 Char"/>
    <w:basedOn w:val="DefaultParagraphFont"/>
    <w:link w:val="Heading2"/>
    <w:uiPriority w:val="9"/>
    <w:rsid w:val="00EE4E33"/>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B6750"/>
    <w:rPr>
      <w:color w:val="808080"/>
    </w:rPr>
  </w:style>
  <w:style w:type="paragraph" w:styleId="Header">
    <w:name w:val="header"/>
    <w:basedOn w:val="Normal"/>
    <w:link w:val="HeaderChar"/>
    <w:uiPriority w:val="99"/>
    <w:unhideWhenUsed/>
    <w:rsid w:val="009B1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06"/>
  </w:style>
  <w:style w:type="paragraph" w:styleId="Footer">
    <w:name w:val="footer"/>
    <w:basedOn w:val="Normal"/>
    <w:link w:val="FooterChar"/>
    <w:uiPriority w:val="99"/>
    <w:unhideWhenUsed/>
    <w:rsid w:val="009B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F06"/>
  </w:style>
  <w:style w:type="paragraph" w:styleId="BalloonText">
    <w:name w:val="Balloon Text"/>
    <w:basedOn w:val="Normal"/>
    <w:link w:val="BalloonTextChar"/>
    <w:uiPriority w:val="99"/>
    <w:semiHidden/>
    <w:unhideWhenUsed/>
    <w:rsid w:val="00353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6460">
      <w:bodyDiv w:val="1"/>
      <w:marLeft w:val="0"/>
      <w:marRight w:val="0"/>
      <w:marTop w:val="0"/>
      <w:marBottom w:val="0"/>
      <w:divBdr>
        <w:top w:val="none" w:sz="0" w:space="0" w:color="auto"/>
        <w:left w:val="none" w:sz="0" w:space="0" w:color="auto"/>
        <w:bottom w:val="none" w:sz="0" w:space="0" w:color="auto"/>
        <w:right w:val="none" w:sz="0" w:space="0" w:color="auto"/>
      </w:divBdr>
    </w:div>
    <w:div w:id="345644741">
      <w:bodyDiv w:val="1"/>
      <w:marLeft w:val="0"/>
      <w:marRight w:val="0"/>
      <w:marTop w:val="0"/>
      <w:marBottom w:val="0"/>
      <w:divBdr>
        <w:top w:val="none" w:sz="0" w:space="0" w:color="auto"/>
        <w:left w:val="none" w:sz="0" w:space="0" w:color="auto"/>
        <w:bottom w:val="none" w:sz="0" w:space="0" w:color="auto"/>
        <w:right w:val="none" w:sz="0" w:space="0" w:color="auto"/>
      </w:divBdr>
    </w:div>
    <w:div w:id="969671734">
      <w:bodyDiv w:val="1"/>
      <w:marLeft w:val="0"/>
      <w:marRight w:val="0"/>
      <w:marTop w:val="0"/>
      <w:marBottom w:val="0"/>
      <w:divBdr>
        <w:top w:val="none" w:sz="0" w:space="0" w:color="auto"/>
        <w:left w:val="none" w:sz="0" w:space="0" w:color="auto"/>
        <w:bottom w:val="none" w:sz="0" w:space="0" w:color="auto"/>
        <w:right w:val="none" w:sz="0" w:space="0" w:color="auto"/>
      </w:divBdr>
    </w:div>
    <w:div w:id="20730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1719</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Chamblee, Stephen</dc:creator>
  <cp:keywords/>
  <dc:description/>
  <cp:lastModifiedBy>Chamblee, Stephen</cp:lastModifiedBy>
  <cp:revision>34</cp:revision>
  <cp:lastPrinted>2018-09-19T15:31:00Z</cp:lastPrinted>
  <dcterms:created xsi:type="dcterms:W3CDTF">2018-01-31T14:21:00Z</dcterms:created>
  <dcterms:modified xsi:type="dcterms:W3CDTF">2019-04-09T20:13:00Z</dcterms:modified>
</cp:coreProperties>
</file>