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FEDF" w14:textId="77777777" w:rsidR="00027226" w:rsidRPr="001043AC" w:rsidRDefault="00027226" w:rsidP="00027226">
      <w:pPr>
        <w:pStyle w:val="Heading2"/>
      </w:pPr>
      <w:r w:rsidRPr="001043AC">
        <w:t>Vision clearance triangle</w:t>
      </w:r>
    </w:p>
    <w:p w14:paraId="7E97715F" w14:textId="77777777" w:rsidR="00027226" w:rsidRDefault="00027226" w:rsidP="00027226">
      <w:pPr>
        <w:pStyle w:val="TableHeading"/>
        <w:rPr>
          <w:b w:val="0"/>
        </w:rPr>
      </w:pPr>
      <w:r w:rsidRPr="00253183">
        <w:rPr>
          <w:b w:val="0"/>
        </w:rPr>
        <w:t xml:space="preserve">No building, structure, or improvement, including landscaping, shall be erected, placed, planted or maintained within a Vision Clearance Triangle (see below) so as to interfere with a vision clearance area; the vision clearance area is the area of space within a Vision Clearance Triangle between the heights of two and one half (2 ½) feet and twelve (12) feet above the crown of a street, driveway or alley.  With the exception of official warning signs or signals necessary for public safety, a vision clearance triangle shall be established for all streets whether public or private, driveways, railroad crossings and alleys as prescribed in (A) through (D) below. </w:t>
      </w:r>
    </w:p>
    <w:p w14:paraId="12E54AD7" w14:textId="77777777" w:rsidR="00027226" w:rsidRDefault="00027226" w:rsidP="00027226">
      <w:pPr>
        <w:pStyle w:val="TableHeading"/>
        <w:numPr>
          <w:ilvl w:val="2"/>
          <w:numId w:val="1"/>
        </w:numPr>
        <w:rPr>
          <w:b w:val="0"/>
        </w:rPr>
      </w:pPr>
      <w:r>
        <w:rPr>
          <w:b w:val="0"/>
        </w:rPr>
        <w:t>Street/Road Intersection</w:t>
      </w:r>
    </w:p>
    <w:p w14:paraId="0174E15E" w14:textId="77777777" w:rsidR="00027226" w:rsidRDefault="00027226" w:rsidP="00027226">
      <w:pPr>
        <w:pStyle w:val="TableHeading"/>
        <w:ind w:left="1152"/>
        <w:rPr>
          <w:b w:val="0"/>
        </w:rPr>
      </w:pPr>
      <w:r w:rsidRPr="00253183">
        <w:rPr>
          <w:b w:val="0"/>
        </w:rPr>
        <w:t>Unless excluded elsewhere in this Ordinance, a property abutting a street/road intersection is subject to a vision clearance triangle.  The vision clearance triangle is triangular shaped with two sides being formed by the street right-of-way lines and the third side being the line connecting points twenty-five (25) feet from the intersection of such street right-of-way lines, or in the case of a round or cut property corner, from the intersection of the street right-of-way lines extended.  See Figure 3.1 (a) &amp; (b) for examples</w:t>
      </w:r>
    </w:p>
    <w:p w14:paraId="7BF67CA8" w14:textId="77777777" w:rsidR="00027226" w:rsidRPr="00253183" w:rsidRDefault="00027226" w:rsidP="00027226">
      <w:pPr>
        <w:pStyle w:val="TableHeading"/>
        <w:ind w:left="1152"/>
        <w:rPr>
          <w:b w:val="0"/>
        </w:rPr>
      </w:pPr>
    </w:p>
    <w:p w14:paraId="3A192B00" w14:textId="77777777" w:rsidR="00027226" w:rsidRDefault="00027226" w:rsidP="00027226">
      <w:pPr>
        <w:rPr>
          <w:b/>
        </w:rPr>
      </w:pPr>
      <w:r w:rsidRPr="00253183">
        <w:rPr>
          <w:b/>
        </w:rPr>
        <w:t xml:space="preserve">Figure 3.1 (a) &amp; (b) – Vision Clearance Triangle; Street &amp; Road Intersections  </w:t>
      </w:r>
    </w:p>
    <w:p w14:paraId="729368A7" w14:textId="77777777" w:rsidR="00027226" w:rsidRDefault="00027226" w:rsidP="00027226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22BDB7" wp14:editId="7BD4D072">
            <wp:simplePos x="0" y="0"/>
            <wp:positionH relativeFrom="column">
              <wp:posOffset>-438150</wp:posOffset>
            </wp:positionH>
            <wp:positionV relativeFrom="paragraph">
              <wp:posOffset>269875</wp:posOffset>
            </wp:positionV>
            <wp:extent cx="6919595" cy="3238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3AC">
        <w:rPr>
          <w:noProof/>
        </w:rPr>
        <mc:AlternateContent>
          <mc:Choice Requires="wpc">
            <w:drawing>
              <wp:inline distT="0" distB="0" distL="0" distR="0" wp14:anchorId="2E4DA3BF" wp14:editId="738F9373">
                <wp:extent cx="4032250" cy="2848610"/>
                <wp:effectExtent l="0" t="0" r="0" b="254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8837" y="0"/>
                            <a:ext cx="715516" cy="404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2BB15" w14:textId="77777777" w:rsidR="00027226" w:rsidRPr="0086500D" w:rsidRDefault="00027226" w:rsidP="00027226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4DA3BF" id="Canvas 11" o:spid="_x0000_s1026" editas="canvas" style="width:317.5pt;height:224.3pt;mso-position-horizontal-relative:char;mso-position-vertical-relative:line" coordsize="40322,2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322;height:284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788;width:7155;height:4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" stroked="f">
                  <v:textbox style="mso-fit-shape-to-text:t">
                    <w:txbxContent>
                      <w:p w14:paraId="5952BB15" w14:textId="77777777" w:rsidR="00027226" w:rsidRPr="0086500D" w:rsidRDefault="00027226" w:rsidP="0002722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1113D4" w14:textId="5C99B1BB" w:rsidR="009E4B1F" w:rsidRDefault="009E4B1F"/>
    <w:p w14:paraId="0F443B63" w14:textId="47A70062" w:rsidR="00027226" w:rsidRDefault="00027226"/>
    <w:p w14:paraId="6CC68B03" w14:textId="77777777" w:rsidR="00027226" w:rsidRDefault="00027226"/>
    <w:p w14:paraId="6FF3B6C5" w14:textId="77777777" w:rsidR="00027226" w:rsidRPr="00027226" w:rsidRDefault="00027226" w:rsidP="00027226">
      <w:pPr>
        <w:numPr>
          <w:ilvl w:val="2"/>
          <w:numId w:val="1"/>
        </w:numPr>
        <w:autoSpaceDE/>
        <w:autoSpaceDN/>
        <w:adjustRightInd/>
        <w:spacing w:before="160"/>
        <w:outlineLvl w:val="2"/>
        <w:rPr>
          <w:rFonts w:cs="Arial"/>
          <w:bCs/>
        </w:rPr>
      </w:pPr>
      <w:r w:rsidRPr="00027226">
        <w:rPr>
          <w:rFonts w:cs="Arial"/>
          <w:bCs/>
        </w:rPr>
        <w:t>Land adjacent to an at-grade railroad crossing</w:t>
      </w:r>
    </w:p>
    <w:p w14:paraId="73B78738" w14:textId="77777777" w:rsidR="00027226" w:rsidRPr="00027226" w:rsidRDefault="00027226" w:rsidP="00027226">
      <w:pPr>
        <w:autoSpaceDE/>
        <w:autoSpaceDN/>
        <w:adjustRightInd/>
        <w:spacing w:before="160"/>
        <w:ind w:left="1152"/>
        <w:outlineLvl w:val="2"/>
        <w:rPr>
          <w:rFonts w:cs="Arial"/>
          <w:bCs/>
        </w:rPr>
      </w:pPr>
      <w:r w:rsidRPr="00027226">
        <w:rPr>
          <w:rFonts w:cs="Arial"/>
          <w:bCs/>
        </w:rPr>
        <w:t>Unless excluded elsewhere in this Ordinance, land adjacent to an at-grade railroad crossing is subject to a vision clearance triangle.  The vision clearance triangle is triangular shaped beginning at the point of intersection of the street/road right-of-</w:t>
      </w:r>
      <w:r w:rsidRPr="00027226">
        <w:rPr>
          <w:rFonts w:cs="Arial"/>
          <w:bCs/>
        </w:rPr>
        <w:lastRenderedPageBreak/>
        <w:t>way and the railroad right-of-way, then extending along each right-of-way line a distance of twenty-five (25) feet to two end points.  The end points are then connected to create a third line thus establishing the vision clearance triangle.     See Figure 3.2 for an example.</w:t>
      </w:r>
    </w:p>
    <w:p w14:paraId="62CB5FA9" w14:textId="77777777" w:rsidR="00027226" w:rsidRPr="00027226" w:rsidRDefault="00027226" w:rsidP="00027226">
      <w:pPr>
        <w:tabs>
          <w:tab w:val="left" w:pos="1200"/>
        </w:tabs>
        <w:ind w:left="1080" w:firstLine="120"/>
        <w:rPr>
          <w:rFonts w:cs="Arial"/>
          <w:b/>
          <w:bCs/>
        </w:rPr>
      </w:pPr>
    </w:p>
    <w:p w14:paraId="2F21BB06" w14:textId="77777777" w:rsidR="00027226" w:rsidRPr="00027226" w:rsidRDefault="00027226" w:rsidP="00027226">
      <w:pPr>
        <w:tabs>
          <w:tab w:val="left" w:pos="1200"/>
        </w:tabs>
        <w:ind w:left="1080" w:firstLine="120"/>
        <w:rPr>
          <w:rFonts w:cs="Arial"/>
          <w:b/>
          <w:bCs/>
        </w:rPr>
      </w:pPr>
      <w:r w:rsidRPr="00027226">
        <w:rPr>
          <w:rFonts w:cs="Arial"/>
          <w:b/>
          <w:bCs/>
        </w:rPr>
        <w:t>Figure 3.2 – Vision Clearance Triangle; Adjacent to A Railroad Crossing</w:t>
      </w:r>
    </w:p>
    <w:p w14:paraId="3C10ACD9" w14:textId="77777777" w:rsidR="00027226" w:rsidRPr="00027226" w:rsidRDefault="00027226" w:rsidP="00027226">
      <w:pPr>
        <w:tabs>
          <w:tab w:val="left" w:pos="1200"/>
        </w:tabs>
        <w:ind w:left="1080" w:firstLine="120"/>
        <w:rPr>
          <w:rFonts w:cs="Arial"/>
          <w:b/>
          <w:bCs/>
        </w:rPr>
      </w:pPr>
    </w:p>
    <w:p w14:paraId="66C3C83D" w14:textId="7FA9BCE9" w:rsidR="00027226" w:rsidRDefault="00027226" w:rsidP="00027226">
      <w:pPr>
        <w:tabs>
          <w:tab w:val="left" w:pos="1200"/>
        </w:tabs>
        <w:ind w:left="1080" w:firstLine="120"/>
        <w:rPr>
          <w:rFonts w:cs="Arial"/>
          <w:b/>
          <w:bCs/>
        </w:rPr>
      </w:pPr>
      <w:r w:rsidRPr="00027226">
        <w:rPr>
          <w:rFonts w:cs="Arial"/>
          <w:b/>
          <w:bCs/>
        </w:rPr>
        <w:t xml:space="preserve"> </w:t>
      </w:r>
      <w:r w:rsidRPr="00027226">
        <w:rPr>
          <w:rFonts w:cs="Arial"/>
          <w:b/>
          <w:bCs/>
          <w:noProof/>
        </w:rPr>
        <w:drawing>
          <wp:inline distT="0" distB="0" distL="0" distR="0" wp14:anchorId="7E2DD54B" wp14:editId="3F5C8CFE">
            <wp:extent cx="3938270" cy="39630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13726" w14:textId="77777777" w:rsidR="00027226" w:rsidRPr="00027226" w:rsidRDefault="00027226" w:rsidP="00027226">
      <w:pPr>
        <w:tabs>
          <w:tab w:val="left" w:pos="1200"/>
        </w:tabs>
        <w:ind w:left="1080" w:firstLine="120"/>
        <w:rPr>
          <w:rFonts w:cs="Arial"/>
          <w:b/>
          <w:bCs/>
        </w:rPr>
      </w:pPr>
    </w:p>
    <w:p w14:paraId="7FE5A9F8" w14:textId="77777777" w:rsidR="00027226" w:rsidRPr="00027226" w:rsidRDefault="00027226" w:rsidP="00027226">
      <w:pPr>
        <w:tabs>
          <w:tab w:val="left" w:pos="1200"/>
        </w:tabs>
        <w:ind w:left="1080" w:firstLine="120"/>
        <w:rPr>
          <w:rFonts w:cs="Arial"/>
          <w:b/>
          <w:bCs/>
        </w:rPr>
      </w:pPr>
    </w:p>
    <w:p w14:paraId="28B678D2" w14:textId="77777777" w:rsidR="00027226" w:rsidRPr="00027226" w:rsidRDefault="00027226" w:rsidP="00027226">
      <w:pPr>
        <w:numPr>
          <w:ilvl w:val="2"/>
          <w:numId w:val="1"/>
        </w:numPr>
        <w:autoSpaceDE/>
        <w:autoSpaceDN/>
        <w:adjustRightInd/>
        <w:spacing w:before="160"/>
        <w:outlineLvl w:val="2"/>
        <w:rPr>
          <w:rFonts w:cs="Arial"/>
          <w:bCs/>
        </w:rPr>
      </w:pPr>
      <w:r w:rsidRPr="00027226">
        <w:rPr>
          <w:rFonts w:cs="Arial"/>
          <w:bCs/>
        </w:rPr>
        <w:t>Street/Road &amp; Alley Intersections</w:t>
      </w:r>
    </w:p>
    <w:p w14:paraId="7B45CF27" w14:textId="77777777" w:rsidR="00027226" w:rsidRPr="00027226" w:rsidRDefault="00027226" w:rsidP="00027226">
      <w:pPr>
        <w:autoSpaceDE/>
        <w:autoSpaceDN/>
        <w:adjustRightInd/>
        <w:spacing w:before="160"/>
        <w:ind w:left="1152"/>
        <w:outlineLvl w:val="2"/>
        <w:rPr>
          <w:rFonts w:cs="Arial"/>
          <w:bCs/>
        </w:rPr>
      </w:pPr>
      <w:r w:rsidRPr="00027226">
        <w:rPr>
          <w:rFonts w:cs="Arial"/>
          <w:bCs/>
        </w:rPr>
        <w:t xml:space="preserve">Unless excluded elsewhere in this Ordinance, all street/road and alley intersections are subject to a vision clearance triangle.  The vision clearance triangle is triangular shaped, one side of which is formed by the street right-of-way line, the second side of which is formed by the alley right-of-way line. The third side is formed by connecting the two points twenty-five (25) feet from the intersection of the two sides formed by the street/road and alley right-of-way sides.  </w:t>
      </w:r>
    </w:p>
    <w:p w14:paraId="4028F438" w14:textId="47CF0F97" w:rsidR="00027226" w:rsidRDefault="00027226" w:rsidP="00027226">
      <w:pPr>
        <w:autoSpaceDE/>
        <w:autoSpaceDN/>
        <w:adjustRightInd/>
        <w:spacing w:before="160"/>
        <w:ind w:left="1152"/>
        <w:outlineLvl w:val="2"/>
        <w:rPr>
          <w:rFonts w:cs="Arial"/>
          <w:bCs/>
        </w:rPr>
      </w:pPr>
      <w:r w:rsidRPr="00027226">
        <w:rPr>
          <w:rFonts w:cs="Arial"/>
          <w:bCs/>
        </w:rPr>
        <w:t>See Figure 3.3 for an example.</w:t>
      </w:r>
    </w:p>
    <w:p w14:paraId="6D95FBEE" w14:textId="68996304" w:rsidR="00027226" w:rsidRDefault="00027226" w:rsidP="00027226">
      <w:pPr>
        <w:autoSpaceDE/>
        <w:autoSpaceDN/>
        <w:adjustRightInd/>
        <w:spacing w:before="160"/>
        <w:ind w:left="1152"/>
        <w:jc w:val="center"/>
        <w:outlineLvl w:val="2"/>
        <w:rPr>
          <w:rFonts w:cs="Arial"/>
          <w:bCs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F787BF9" wp14:editId="2C38F266">
            <wp:extent cx="2962910" cy="38652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92EDC" w14:textId="77777777" w:rsidR="00027226" w:rsidRPr="00027226" w:rsidRDefault="00027226" w:rsidP="00027226">
      <w:pPr>
        <w:autoSpaceDE/>
        <w:autoSpaceDN/>
        <w:adjustRightInd/>
        <w:spacing w:before="160"/>
        <w:ind w:left="1152"/>
        <w:outlineLvl w:val="2"/>
        <w:rPr>
          <w:rFonts w:cs="Arial"/>
          <w:bCs/>
        </w:rPr>
      </w:pPr>
    </w:p>
    <w:p w14:paraId="277FFA17" w14:textId="77777777" w:rsidR="00027226" w:rsidRDefault="00027226"/>
    <w:sectPr w:rsidR="000272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7216" w14:textId="77777777" w:rsidR="00027226" w:rsidRDefault="00027226" w:rsidP="00027226">
      <w:pPr>
        <w:spacing w:before="0" w:after="0"/>
      </w:pPr>
      <w:r>
        <w:separator/>
      </w:r>
    </w:p>
  </w:endnote>
  <w:endnote w:type="continuationSeparator" w:id="0">
    <w:p w14:paraId="1EC11A7D" w14:textId="77777777" w:rsidR="00027226" w:rsidRDefault="00027226" w:rsidP="000272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E1CA" w14:textId="707385ED" w:rsidR="00027226" w:rsidRDefault="00027226">
    <w:pPr>
      <w:pStyle w:val="Footer"/>
    </w:pPr>
    <w:r>
      <w:t>Amended through: 01/22/2019 - Ordinance No #19-1-22-03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0E16" w14:textId="77777777" w:rsidR="00027226" w:rsidRDefault="00027226" w:rsidP="00027226">
      <w:pPr>
        <w:spacing w:before="0" w:after="0"/>
      </w:pPr>
      <w:r>
        <w:separator/>
      </w:r>
    </w:p>
  </w:footnote>
  <w:footnote w:type="continuationSeparator" w:id="0">
    <w:p w14:paraId="3E16F59E" w14:textId="77777777" w:rsidR="00027226" w:rsidRDefault="00027226" w:rsidP="000272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CB1B" w14:textId="77777777" w:rsidR="00027226" w:rsidRPr="00027226" w:rsidRDefault="00027226" w:rsidP="00027226">
    <w:pPr>
      <w:pBdr>
        <w:bottom w:val="double" w:sz="4" w:space="1" w:color="auto"/>
      </w:pBdr>
      <w:shd w:val="clear" w:color="000000" w:fill="D9D9D9"/>
      <w:tabs>
        <w:tab w:val="right" w:pos="9360"/>
      </w:tabs>
      <w:autoSpaceDE/>
      <w:autoSpaceDN/>
      <w:adjustRightInd/>
      <w:ind w:left="0"/>
      <w:rPr>
        <w:szCs w:val="24"/>
      </w:rPr>
    </w:pPr>
    <w:r w:rsidRPr="00027226">
      <w:rPr>
        <w:szCs w:val="24"/>
      </w:rPr>
      <w:t>White County Zoning Ordinance</w:t>
    </w:r>
    <w:r w:rsidRPr="00027226">
      <w:rPr>
        <w:szCs w:val="24"/>
      </w:rPr>
      <w:tab/>
      <w:t>Specific Use Requirements and Performance Standards</w:t>
    </w:r>
  </w:p>
  <w:p w14:paraId="4D136417" w14:textId="77777777" w:rsidR="00027226" w:rsidRDefault="00027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240E"/>
    <w:multiLevelType w:val="multilevel"/>
    <w:tmpl w:val="2D6A813A"/>
    <w:lvl w:ilvl="0">
      <w:numFmt w:val="decimal"/>
      <w:pStyle w:val="Heading1"/>
      <w:lvlText w:val="3.%1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3.%1.%2"/>
      <w:lvlJc w:val="left"/>
      <w:pPr>
        <w:tabs>
          <w:tab w:val="num" w:pos="1260"/>
        </w:tabs>
        <w:ind w:left="1260" w:hanging="720"/>
      </w:pPr>
      <w:rPr>
        <w:rFonts w:ascii="Arial Narrow" w:hAnsi="Arial Narrow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288"/>
      </w:pPr>
      <w:rPr>
        <w:rFonts w:ascii="Arial Narrow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4"/>
        <w:szCs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6"/>
    <w:rsid w:val="00027226"/>
    <w:rsid w:val="009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18BE"/>
  <w15:chartTrackingRefBased/>
  <w15:docId w15:val="{FB0A3D4D-226B-4A61-861A-BABCD27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027226"/>
    <w:pPr>
      <w:autoSpaceDE w:val="0"/>
      <w:autoSpaceDN w:val="0"/>
      <w:adjustRightInd w:val="0"/>
      <w:spacing w:before="120" w:after="120" w:line="240" w:lineRule="auto"/>
      <w:ind w:left="720"/>
    </w:pPr>
    <w:rPr>
      <w:rFonts w:ascii="Arial" w:eastAsia="Times New Roman" w:hAnsi="Arial" w:cs="Times New Roman"/>
    </w:rPr>
  </w:style>
  <w:style w:type="paragraph" w:styleId="Heading1">
    <w:name w:val="heading 1"/>
    <w:next w:val="Normal"/>
    <w:link w:val="Heading1Char"/>
    <w:autoRedefine/>
    <w:qFormat/>
    <w:rsid w:val="00027226"/>
    <w:pPr>
      <w:keepNext/>
      <w:numPr>
        <w:numId w:val="1"/>
      </w:numPr>
      <w:pBdr>
        <w:bottom w:val="single" w:sz="4" w:space="1" w:color="auto"/>
      </w:pBdr>
      <w:spacing w:before="360" w:after="120" w:line="240" w:lineRule="auto"/>
      <w:outlineLvl w:val="0"/>
    </w:pPr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27226"/>
    <w:pPr>
      <w:keepNext/>
      <w:numPr>
        <w:ilvl w:val="1"/>
        <w:numId w:val="1"/>
      </w:numPr>
      <w:spacing w:before="240"/>
      <w:outlineLvl w:val="1"/>
    </w:pPr>
    <w:rPr>
      <w:rFonts w:eastAsia="MS Mincho"/>
      <w:b/>
      <w:bCs/>
      <w:iCs/>
      <w:kern w:val="32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2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Normal"/>
    <w:link w:val="Heading4Char"/>
    <w:autoRedefine/>
    <w:qFormat/>
    <w:rsid w:val="00027226"/>
    <w:pPr>
      <w:numPr>
        <w:ilvl w:val="3"/>
        <w:numId w:val="1"/>
      </w:numPr>
      <w:spacing w:before="160" w:after="120" w:line="240" w:lineRule="auto"/>
      <w:outlineLvl w:val="3"/>
    </w:pPr>
    <w:rPr>
      <w:rFonts w:ascii="Arial" w:eastAsia="Times New Roman" w:hAnsi="Arial" w:cs="Times New Roman"/>
      <w:bCs/>
    </w:rPr>
  </w:style>
  <w:style w:type="paragraph" w:styleId="Heading5">
    <w:name w:val="heading 5"/>
    <w:next w:val="Normal"/>
    <w:link w:val="Heading5Char"/>
    <w:autoRedefine/>
    <w:qFormat/>
    <w:rsid w:val="00027226"/>
    <w:pPr>
      <w:numPr>
        <w:ilvl w:val="4"/>
        <w:numId w:val="1"/>
      </w:numPr>
      <w:spacing w:before="160" w:after="120" w:line="240" w:lineRule="auto"/>
      <w:outlineLvl w:val="4"/>
    </w:pPr>
    <w:rPr>
      <w:rFonts w:ascii="Arial" w:eastAsia="Times New Roman" w:hAnsi="Arial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027226"/>
    <w:pPr>
      <w:numPr>
        <w:ilvl w:val="5"/>
        <w:numId w:val="1"/>
      </w:numPr>
      <w:outlineLvl w:val="5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26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226"/>
    <w:rPr>
      <w:rFonts w:ascii="Arial" w:eastAsia="MS Mincho" w:hAnsi="Arial" w:cs="Times New Roman"/>
      <w:b/>
      <w:bCs/>
      <w:iCs/>
      <w:kern w:val="32"/>
      <w:szCs w:val="23"/>
    </w:rPr>
  </w:style>
  <w:style w:type="character" w:customStyle="1" w:styleId="Heading4Char">
    <w:name w:val="Heading 4 Char"/>
    <w:basedOn w:val="DefaultParagraphFont"/>
    <w:link w:val="Heading4"/>
    <w:rsid w:val="00027226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rsid w:val="00027226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27226"/>
    <w:rPr>
      <w:rFonts w:ascii="Arial" w:eastAsia="Times New Roman" w:hAnsi="Arial" w:cs="Times New Roman"/>
      <w:bCs/>
    </w:rPr>
  </w:style>
  <w:style w:type="paragraph" w:customStyle="1" w:styleId="TableHeading">
    <w:name w:val="Table Heading"/>
    <w:basedOn w:val="Normal"/>
    <w:autoRedefine/>
    <w:rsid w:val="00027226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2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2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722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2722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722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Tiede</dc:creator>
  <cp:keywords/>
  <dc:description/>
  <cp:lastModifiedBy>Tina Tiede</cp:lastModifiedBy>
  <cp:revision>1</cp:revision>
  <dcterms:created xsi:type="dcterms:W3CDTF">2019-02-13T19:23:00Z</dcterms:created>
  <dcterms:modified xsi:type="dcterms:W3CDTF">2019-02-13T19:26:00Z</dcterms:modified>
</cp:coreProperties>
</file>