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208" w:type="dxa"/>
        <w:tblInd w:w="67" w:type="dxa"/>
        <w:tblLayout w:type="fixed"/>
        <w:tblCellMar>
          <w:top w:w="55" w:type="dxa"/>
          <w:left w:w="55" w:type="dxa"/>
          <w:bottom w:w="55" w:type="dxa"/>
          <w:right w:w="55" w:type="dxa"/>
        </w:tblCellMar>
        <w:tblLook w:val="0000"/>
      </w:tblPr>
      <w:tblGrid>
        <w:gridCol w:w="1518"/>
        <w:gridCol w:w="8010"/>
        <w:gridCol w:w="2970"/>
        <w:gridCol w:w="1710"/>
      </w:tblGrid>
      <w:tr w:rsidR="002C2779" w:rsidRPr="00357DBF" w:rsidTr="002C2779">
        <w:tc>
          <w:tcPr>
            <w:tcW w:w="1518" w:type="dxa"/>
            <w:tcBorders>
              <w:top w:val="nil"/>
              <w:left w:val="single" w:sz="2" w:space="0" w:color="000000"/>
              <w:bottom w:val="single" w:sz="2" w:space="0" w:color="000000"/>
              <w:right w:val="nil"/>
            </w:tcBorders>
            <w:shd w:val="clear" w:color="auto" w:fill="auto"/>
          </w:tcPr>
          <w:p w:rsidR="002C2779" w:rsidRDefault="002C2779" w:rsidP="00E7165A">
            <w:pPr>
              <w:pStyle w:val="TableContents"/>
              <w:jc w:val="center"/>
              <w:rPr>
                <w:rFonts w:ascii="Arial" w:eastAsiaTheme="minorEastAsia"/>
                <w:b/>
                <w:sz w:val="20"/>
              </w:rPr>
            </w:pPr>
          </w:p>
          <w:p w:rsidR="002C2779" w:rsidRDefault="002C2779" w:rsidP="00E7165A">
            <w:pPr>
              <w:pStyle w:val="TableContents"/>
              <w:jc w:val="center"/>
              <w:rPr>
                <w:rFonts w:ascii="Arial" w:eastAsiaTheme="minorEastAsia"/>
                <w:b/>
                <w:sz w:val="20"/>
              </w:rPr>
            </w:pPr>
            <w:r>
              <w:rPr>
                <w:rFonts w:ascii="Arial" w:eastAsiaTheme="minorEastAsia"/>
                <w:b/>
                <w:sz w:val="20"/>
              </w:rPr>
              <w:t>SEA 117</w:t>
            </w:r>
          </w:p>
          <w:p w:rsidR="002C2779" w:rsidRDefault="002C2779" w:rsidP="00E7165A">
            <w:pPr>
              <w:pStyle w:val="TableContents"/>
              <w:jc w:val="center"/>
              <w:rPr>
                <w:rFonts w:ascii="Arial" w:eastAsiaTheme="minorEastAsia"/>
                <w:b/>
                <w:sz w:val="20"/>
              </w:rPr>
            </w:pPr>
          </w:p>
          <w:p w:rsidR="002C2779" w:rsidRDefault="002C2779" w:rsidP="00E7165A">
            <w:pPr>
              <w:pStyle w:val="TableContents"/>
              <w:jc w:val="center"/>
              <w:rPr>
                <w:rFonts w:ascii="Arial" w:eastAsiaTheme="minorEastAsia"/>
                <w:b/>
                <w:sz w:val="20"/>
              </w:rPr>
            </w:pPr>
            <w:r>
              <w:rPr>
                <w:rFonts w:ascii="Arial" w:eastAsiaTheme="minorEastAsia"/>
                <w:b/>
                <w:sz w:val="20"/>
              </w:rPr>
              <w:t>P.L.22-2014</w:t>
            </w:r>
          </w:p>
          <w:p w:rsidR="002C2779" w:rsidRPr="00357DBF" w:rsidRDefault="002C2779" w:rsidP="00E7165A">
            <w:pPr>
              <w:pStyle w:val="TableContents"/>
              <w:jc w:val="center"/>
              <w:rPr>
                <w:rFonts w:ascii="Arial" w:eastAsiaTheme="minorEastAsia"/>
                <w:b/>
                <w:sz w:val="20"/>
              </w:rPr>
            </w:pPr>
          </w:p>
        </w:tc>
        <w:tc>
          <w:tcPr>
            <w:tcW w:w="8010" w:type="dxa"/>
            <w:tcBorders>
              <w:top w:val="nil"/>
              <w:left w:val="single" w:sz="2" w:space="0" w:color="000000"/>
              <w:bottom w:val="single" w:sz="2" w:space="0" w:color="000000"/>
              <w:right w:val="nil"/>
            </w:tcBorders>
            <w:shd w:val="clear" w:color="auto" w:fill="auto"/>
          </w:tcPr>
          <w:p w:rsidR="00324C09" w:rsidRDefault="00324C09" w:rsidP="00E7165A">
            <w:pPr>
              <w:pStyle w:val="TableContents"/>
              <w:rPr>
                <w:rFonts w:ascii="Arial" w:eastAsiaTheme="minorEastAsia"/>
                <w:b/>
                <w:sz w:val="20"/>
              </w:rPr>
            </w:pPr>
          </w:p>
          <w:p w:rsidR="002C2779" w:rsidRDefault="00324C09" w:rsidP="00324C09">
            <w:pPr>
              <w:pStyle w:val="TableContents"/>
              <w:rPr>
                <w:rFonts w:ascii="Arial" w:eastAsiaTheme="minorEastAsia"/>
                <w:sz w:val="20"/>
              </w:rPr>
            </w:pPr>
            <w:r>
              <w:rPr>
                <w:rFonts w:ascii="Arial" w:eastAsiaTheme="minorEastAsia"/>
                <w:b/>
                <w:sz w:val="20"/>
              </w:rPr>
              <w:t xml:space="preserve">Changes to Public Employees Retirement Fund (PERF). / </w:t>
            </w:r>
            <w:r w:rsidRPr="00324C09">
              <w:rPr>
                <w:rFonts w:ascii="Arial" w:eastAsiaTheme="minorEastAsia"/>
                <w:b/>
                <w:sz w:val="20"/>
              </w:rPr>
              <w:t xml:space="preserve">Lump sum payment of ASA contributions. </w:t>
            </w:r>
            <w:r w:rsidR="00CE5313" w:rsidRPr="00CE5313">
              <w:rPr>
                <w:rFonts w:ascii="Arial" w:eastAsiaTheme="minorEastAsia"/>
                <w:sz w:val="20"/>
              </w:rPr>
              <w:t>This Act p</w:t>
            </w:r>
            <w:r w:rsidRPr="00324C09">
              <w:rPr>
                <w:rFonts w:ascii="Arial" w:eastAsiaTheme="minorEastAsia"/>
                <w:sz w:val="20"/>
              </w:rPr>
              <w:t xml:space="preserve">rovides that contributions posted to a </w:t>
            </w:r>
            <w:r>
              <w:rPr>
                <w:rFonts w:ascii="Arial" w:eastAsiaTheme="minorEastAsia"/>
                <w:sz w:val="20"/>
              </w:rPr>
              <w:t>member</w:t>
            </w:r>
            <w:r>
              <w:rPr>
                <w:rFonts w:ascii="Arial" w:eastAsiaTheme="minorEastAsia"/>
                <w:sz w:val="20"/>
              </w:rPr>
              <w:t>’</w:t>
            </w:r>
            <w:r>
              <w:rPr>
                <w:rFonts w:ascii="Arial" w:eastAsiaTheme="minorEastAsia"/>
                <w:sz w:val="20"/>
              </w:rPr>
              <w:t xml:space="preserve">s </w:t>
            </w:r>
            <w:r w:rsidRPr="00324C09">
              <w:rPr>
                <w:rFonts w:ascii="Arial" w:eastAsiaTheme="minorEastAsia"/>
                <w:sz w:val="20"/>
              </w:rPr>
              <w:t>public employees' retirement fund (PERF) annuity savings account (ASA) after the final date on which the PERF member's retirement benefit is processed may be distributed to the member as determined by the rules of the board of trustees (board) of the Indiana public retirement system. Removes a requirement that these contributions be paid as a lump sum. Requires the board to obtain the member's consent to the form of the distribution if the amount exceeds $1,000.</w:t>
            </w:r>
          </w:p>
          <w:p w:rsidR="0007399E" w:rsidRDefault="0007399E" w:rsidP="00324C09">
            <w:pPr>
              <w:pStyle w:val="TableContents"/>
              <w:rPr>
                <w:rFonts w:ascii="Arial" w:eastAsiaTheme="minorEastAsia"/>
                <w:sz w:val="20"/>
              </w:rPr>
            </w:pPr>
          </w:p>
          <w:p w:rsidR="000C108A" w:rsidRDefault="000C108A" w:rsidP="00324C09">
            <w:pPr>
              <w:pStyle w:val="TableContents"/>
              <w:rPr>
                <w:rFonts w:ascii="Arial" w:eastAsiaTheme="minorEastAsia"/>
                <w:b/>
                <w:sz w:val="20"/>
              </w:rPr>
            </w:pPr>
            <w:r>
              <w:rPr>
                <w:rFonts w:ascii="Arial" w:eastAsiaTheme="minorEastAsia"/>
                <w:b/>
                <w:sz w:val="20"/>
              </w:rPr>
              <w:t xml:space="preserve">Link to Enrolled Act:  </w:t>
            </w:r>
            <w:hyperlink r:id="rId6" w:history="1">
              <w:r w:rsidR="00757063" w:rsidRPr="00757063">
                <w:rPr>
                  <w:rStyle w:val="Hyperlink"/>
                  <w:rFonts w:ascii="Arial" w:eastAsiaTheme="minorEastAsia"/>
                  <w:sz w:val="20"/>
                </w:rPr>
                <w:t>http://iga.in.gov/static-documents/1/b/c/5/1bc5a490/SB0117.05.ENRS.pdf</w:t>
              </w:r>
            </w:hyperlink>
          </w:p>
          <w:p w:rsidR="000C108A" w:rsidRPr="00324C09" w:rsidRDefault="000C108A" w:rsidP="00324C09">
            <w:pPr>
              <w:pStyle w:val="TableContents"/>
              <w:rPr>
                <w:rFonts w:ascii="Arial" w:eastAsiaTheme="minorEastAsia"/>
                <w:sz w:val="20"/>
              </w:rPr>
            </w:pPr>
          </w:p>
        </w:tc>
        <w:tc>
          <w:tcPr>
            <w:tcW w:w="2970" w:type="dxa"/>
            <w:tcBorders>
              <w:top w:val="nil"/>
              <w:left w:val="single" w:sz="2" w:space="0" w:color="000000"/>
              <w:bottom w:val="single" w:sz="2" w:space="0" w:color="000000"/>
              <w:right w:val="single" w:sz="2" w:space="0" w:color="000000"/>
            </w:tcBorders>
            <w:shd w:val="clear" w:color="auto" w:fill="auto"/>
          </w:tcPr>
          <w:p w:rsidR="002C2779" w:rsidRDefault="002C2779" w:rsidP="00E7165A">
            <w:pPr>
              <w:pStyle w:val="TableContents"/>
              <w:rPr>
                <w:rFonts w:ascii="Arial" w:eastAsiaTheme="minorEastAsia"/>
                <w:sz w:val="20"/>
              </w:rPr>
            </w:pPr>
          </w:p>
          <w:p w:rsidR="00324C09" w:rsidRPr="00324C09" w:rsidRDefault="00324C09" w:rsidP="00E7165A">
            <w:pPr>
              <w:pStyle w:val="TableContents"/>
              <w:rPr>
                <w:rFonts w:ascii="Arial" w:eastAsiaTheme="minorEastAsia"/>
                <w:b/>
                <w:sz w:val="20"/>
              </w:rPr>
            </w:pPr>
            <w:r w:rsidRPr="00324C09">
              <w:rPr>
                <w:rFonts w:ascii="Arial" w:eastAsiaTheme="minorEastAsia"/>
                <w:b/>
                <w:sz w:val="20"/>
              </w:rPr>
              <w:t>Applicable to PERF members</w:t>
            </w:r>
          </w:p>
        </w:tc>
        <w:tc>
          <w:tcPr>
            <w:tcW w:w="1710" w:type="dxa"/>
            <w:tcBorders>
              <w:top w:val="nil"/>
              <w:left w:val="single" w:sz="2" w:space="0" w:color="000000"/>
              <w:bottom w:val="single" w:sz="2" w:space="0" w:color="000000"/>
              <w:right w:val="single" w:sz="2" w:space="0" w:color="000000"/>
            </w:tcBorders>
          </w:tcPr>
          <w:p w:rsidR="002C2779" w:rsidRPr="00324C09" w:rsidRDefault="002C2779" w:rsidP="00324C09">
            <w:pPr>
              <w:pStyle w:val="TableContents"/>
              <w:jc w:val="center"/>
              <w:rPr>
                <w:rFonts w:ascii="Arial" w:eastAsiaTheme="minorEastAsia"/>
                <w:b/>
                <w:sz w:val="20"/>
              </w:rPr>
            </w:pPr>
          </w:p>
          <w:p w:rsidR="00324C09" w:rsidRPr="00324C09" w:rsidRDefault="00324C09" w:rsidP="00324C09">
            <w:pPr>
              <w:pStyle w:val="TableContents"/>
              <w:jc w:val="center"/>
              <w:rPr>
                <w:rFonts w:ascii="Arial" w:eastAsiaTheme="minorEastAsia"/>
                <w:b/>
                <w:sz w:val="20"/>
              </w:rPr>
            </w:pPr>
            <w:r w:rsidRPr="00324C09">
              <w:rPr>
                <w:rFonts w:ascii="Arial" w:eastAsiaTheme="minorEastAsia"/>
                <w:b/>
                <w:sz w:val="20"/>
              </w:rPr>
              <w:t>July 1, 2014</w:t>
            </w:r>
          </w:p>
        </w:tc>
      </w:tr>
      <w:tr w:rsidR="002C2779" w:rsidRPr="00357DBF" w:rsidTr="002C2779">
        <w:tc>
          <w:tcPr>
            <w:tcW w:w="1518" w:type="dxa"/>
            <w:tcBorders>
              <w:top w:val="nil"/>
              <w:left w:val="single" w:sz="2" w:space="0" w:color="000000"/>
              <w:bottom w:val="single" w:sz="2" w:space="0" w:color="000000"/>
              <w:right w:val="nil"/>
            </w:tcBorders>
            <w:shd w:val="clear" w:color="auto" w:fill="auto"/>
          </w:tcPr>
          <w:p w:rsidR="002C2779" w:rsidRDefault="002C2779" w:rsidP="00E7165A">
            <w:pPr>
              <w:pStyle w:val="TableContents"/>
              <w:jc w:val="center"/>
              <w:rPr>
                <w:rFonts w:ascii="Arial" w:eastAsiaTheme="minorEastAsia"/>
                <w:b/>
                <w:sz w:val="20"/>
              </w:rPr>
            </w:pPr>
          </w:p>
          <w:p w:rsidR="002C2779" w:rsidRDefault="002C2779" w:rsidP="00E7165A">
            <w:pPr>
              <w:pStyle w:val="TableContents"/>
              <w:jc w:val="center"/>
              <w:rPr>
                <w:rFonts w:ascii="Arial" w:eastAsiaTheme="minorEastAsia"/>
                <w:b/>
                <w:sz w:val="20"/>
              </w:rPr>
            </w:pPr>
            <w:r>
              <w:rPr>
                <w:rFonts w:ascii="Arial" w:eastAsiaTheme="minorEastAsia"/>
                <w:b/>
                <w:sz w:val="20"/>
              </w:rPr>
              <w:t>SEA 106</w:t>
            </w:r>
          </w:p>
          <w:p w:rsidR="002C2779" w:rsidRDefault="002C2779" w:rsidP="00E7165A">
            <w:pPr>
              <w:pStyle w:val="TableContents"/>
              <w:jc w:val="center"/>
              <w:rPr>
                <w:rFonts w:ascii="Arial" w:eastAsiaTheme="minorEastAsia"/>
                <w:b/>
                <w:sz w:val="20"/>
              </w:rPr>
            </w:pPr>
          </w:p>
          <w:p w:rsidR="002C2779" w:rsidRDefault="002C2779" w:rsidP="00E7165A">
            <w:pPr>
              <w:pStyle w:val="TableContents"/>
              <w:jc w:val="center"/>
              <w:rPr>
                <w:rFonts w:ascii="Arial" w:eastAsiaTheme="minorEastAsia"/>
                <w:b/>
                <w:sz w:val="20"/>
              </w:rPr>
            </w:pPr>
            <w:r>
              <w:rPr>
                <w:rFonts w:ascii="Arial" w:eastAsiaTheme="minorEastAsia"/>
                <w:b/>
                <w:sz w:val="20"/>
              </w:rPr>
              <w:t>P.L.84-2014</w:t>
            </w:r>
          </w:p>
          <w:p w:rsidR="002C2779" w:rsidRPr="00357DBF" w:rsidRDefault="002C2779" w:rsidP="00E7165A">
            <w:pPr>
              <w:pStyle w:val="TableContents"/>
              <w:jc w:val="center"/>
              <w:rPr>
                <w:rFonts w:ascii="Arial" w:eastAsiaTheme="minorEastAsia"/>
                <w:b/>
                <w:sz w:val="20"/>
              </w:rPr>
            </w:pPr>
          </w:p>
        </w:tc>
        <w:tc>
          <w:tcPr>
            <w:tcW w:w="8010" w:type="dxa"/>
            <w:tcBorders>
              <w:top w:val="nil"/>
              <w:left w:val="single" w:sz="2" w:space="0" w:color="000000"/>
              <w:bottom w:val="single" w:sz="2" w:space="0" w:color="000000"/>
              <w:right w:val="nil"/>
            </w:tcBorders>
            <w:shd w:val="clear" w:color="auto" w:fill="auto"/>
          </w:tcPr>
          <w:p w:rsidR="002C2779" w:rsidRDefault="002C2779" w:rsidP="00E7165A">
            <w:pPr>
              <w:pStyle w:val="TableContents"/>
              <w:rPr>
                <w:rFonts w:ascii="Arial" w:eastAsiaTheme="minorEastAsia"/>
                <w:b/>
                <w:sz w:val="20"/>
              </w:rPr>
            </w:pPr>
          </w:p>
          <w:p w:rsidR="000C108A" w:rsidRDefault="000C108A" w:rsidP="000C108A">
            <w:pPr>
              <w:pStyle w:val="TableContents"/>
              <w:rPr>
                <w:rFonts w:ascii="Arial" w:eastAsiaTheme="minorEastAsia"/>
                <w:sz w:val="20"/>
              </w:rPr>
            </w:pPr>
            <w:r w:rsidRPr="00357DBF">
              <w:rPr>
                <w:rFonts w:ascii="Arial" w:eastAsiaTheme="minorEastAsia"/>
                <w:b/>
                <w:sz w:val="20"/>
              </w:rPr>
              <w:t>Local Government Transparency.</w:t>
            </w:r>
            <w:r w:rsidRPr="00357DBF">
              <w:rPr>
                <w:rFonts w:ascii="Arial" w:eastAsiaTheme="minorEastAsia"/>
                <w:sz w:val="20"/>
              </w:rPr>
              <w:t xml:space="preserve"> </w:t>
            </w:r>
            <w:r w:rsidR="00CE5313">
              <w:rPr>
                <w:rFonts w:ascii="Arial" w:eastAsiaTheme="minorEastAsia"/>
                <w:sz w:val="20"/>
              </w:rPr>
              <w:t>This Act r</w:t>
            </w:r>
            <w:r w:rsidRPr="00357DBF">
              <w:rPr>
                <w:rFonts w:ascii="Arial" w:eastAsiaTheme="minorEastAsia"/>
                <w:sz w:val="20"/>
              </w:rPr>
              <w:t xml:space="preserve">equires Department of Local Government Finance (DLGF) to </w:t>
            </w:r>
            <w:r w:rsidR="0051028B">
              <w:rPr>
                <w:rFonts w:ascii="Arial" w:eastAsiaTheme="minorEastAsia"/>
                <w:sz w:val="20"/>
              </w:rPr>
              <w:t>develop</w:t>
            </w:r>
            <w:r w:rsidRPr="00357DBF">
              <w:rPr>
                <w:rFonts w:ascii="Arial" w:eastAsiaTheme="minorEastAsia"/>
                <w:sz w:val="20"/>
              </w:rPr>
              <w:t xml:space="preserve"> indicators of </w:t>
            </w:r>
            <w:r w:rsidR="0051028B">
              <w:rPr>
                <w:rFonts w:ascii="Arial" w:eastAsiaTheme="minorEastAsia"/>
                <w:sz w:val="20"/>
              </w:rPr>
              <w:t xml:space="preserve">fiscal </w:t>
            </w:r>
            <w:r w:rsidRPr="00357DBF">
              <w:rPr>
                <w:rFonts w:ascii="Arial" w:eastAsiaTheme="minorEastAsia"/>
                <w:sz w:val="20"/>
              </w:rPr>
              <w:t xml:space="preserve">health for political subdivisions. </w:t>
            </w:r>
            <w:r w:rsidR="0051028B">
              <w:rPr>
                <w:rFonts w:ascii="Arial" w:eastAsiaTheme="minorEastAsia"/>
                <w:sz w:val="20"/>
              </w:rPr>
              <w:t xml:space="preserve">DLGF must post the indicators and associated fiscal data on the Indiana transparency Internet website before July 1, 2015. </w:t>
            </w:r>
          </w:p>
          <w:p w:rsidR="0007399E" w:rsidRDefault="0007399E" w:rsidP="00E7165A">
            <w:pPr>
              <w:pStyle w:val="TableContents"/>
              <w:rPr>
                <w:rFonts w:ascii="Arial" w:eastAsiaTheme="minorEastAsia"/>
                <w:b/>
                <w:sz w:val="20"/>
              </w:rPr>
            </w:pPr>
          </w:p>
          <w:p w:rsidR="007F5D92" w:rsidRDefault="007F5D92" w:rsidP="007F5D92">
            <w:pPr>
              <w:pStyle w:val="TableContents"/>
              <w:rPr>
                <w:rFonts w:ascii="Arial" w:eastAsiaTheme="minorEastAsia"/>
                <w:sz w:val="20"/>
              </w:rPr>
            </w:pPr>
            <w:r w:rsidRPr="00357DBF">
              <w:rPr>
                <w:rFonts w:ascii="Arial" w:eastAsiaTheme="minorEastAsia"/>
                <w:sz w:val="20"/>
              </w:rPr>
              <w:t xml:space="preserve">This </w:t>
            </w:r>
            <w:r>
              <w:rPr>
                <w:rFonts w:ascii="Arial" w:eastAsiaTheme="minorEastAsia"/>
                <w:sz w:val="20"/>
              </w:rPr>
              <w:t xml:space="preserve">Act </w:t>
            </w:r>
            <w:r w:rsidRPr="00357DBF">
              <w:rPr>
                <w:rFonts w:ascii="Arial" w:eastAsiaTheme="minorEastAsia"/>
                <w:sz w:val="20"/>
              </w:rPr>
              <w:t>also allow</w:t>
            </w:r>
            <w:r>
              <w:rPr>
                <w:rFonts w:ascii="Arial" w:eastAsiaTheme="minorEastAsia"/>
                <w:sz w:val="20"/>
              </w:rPr>
              <w:t>s</w:t>
            </w:r>
            <w:r w:rsidRPr="00357DBF">
              <w:rPr>
                <w:rFonts w:ascii="Arial" w:eastAsiaTheme="minorEastAsia"/>
                <w:sz w:val="20"/>
              </w:rPr>
              <w:t xml:space="preserve"> </w:t>
            </w:r>
            <w:r>
              <w:rPr>
                <w:rFonts w:ascii="Arial" w:eastAsiaTheme="minorEastAsia"/>
                <w:sz w:val="20"/>
              </w:rPr>
              <w:t>political subdivisions</w:t>
            </w:r>
            <w:r w:rsidRPr="00357DBF">
              <w:rPr>
                <w:rFonts w:ascii="Arial" w:eastAsiaTheme="minorEastAsia"/>
                <w:sz w:val="20"/>
              </w:rPr>
              <w:t xml:space="preserve"> in financial distress to request technical assistance from the distressed unit </w:t>
            </w:r>
            <w:r>
              <w:rPr>
                <w:rFonts w:ascii="Arial" w:eastAsiaTheme="minorEastAsia"/>
                <w:sz w:val="20"/>
              </w:rPr>
              <w:t>appeals board beginning in 2015 to help prevent the political subdivision from becoming a distressed political subdivision.</w:t>
            </w:r>
          </w:p>
          <w:p w:rsidR="000C108A" w:rsidRDefault="000C108A" w:rsidP="00E7165A">
            <w:pPr>
              <w:pStyle w:val="TableContents"/>
              <w:rPr>
                <w:rFonts w:ascii="Arial" w:eastAsiaTheme="minorEastAsia"/>
                <w:b/>
                <w:sz w:val="20"/>
              </w:rPr>
            </w:pPr>
          </w:p>
          <w:p w:rsidR="000C108A" w:rsidRDefault="000C108A" w:rsidP="00E7165A">
            <w:pPr>
              <w:pStyle w:val="TableContents"/>
            </w:pPr>
            <w:r>
              <w:rPr>
                <w:rFonts w:ascii="Arial" w:eastAsiaTheme="minorEastAsia"/>
                <w:b/>
                <w:sz w:val="20"/>
              </w:rPr>
              <w:t>Link to Enrolled Act</w:t>
            </w:r>
            <w:r w:rsidRPr="007C3BE9">
              <w:rPr>
                <w:rFonts w:ascii="Arial" w:eastAsiaTheme="minorEastAsia" w:hAnsi="Arial" w:cs="Arial"/>
                <w:b/>
                <w:sz w:val="20"/>
                <w:szCs w:val="20"/>
              </w:rPr>
              <w:t xml:space="preserve">:  </w:t>
            </w:r>
            <w:hyperlink r:id="rId7" w:history="1">
              <w:r w:rsidR="00757063" w:rsidRPr="007C3BE9">
                <w:rPr>
                  <w:rStyle w:val="Hyperlink"/>
                  <w:rFonts w:ascii="Arial" w:hAnsi="Arial" w:cs="Arial"/>
                  <w:sz w:val="20"/>
                  <w:szCs w:val="20"/>
                </w:rPr>
                <w:t>http://iga.in.gov/static-documents/e/3/9/d/e39dfac9/SB0106.05.ENRS.pdf</w:t>
              </w:r>
            </w:hyperlink>
          </w:p>
          <w:p w:rsidR="00757063" w:rsidRPr="00357DBF" w:rsidRDefault="00757063" w:rsidP="00E7165A">
            <w:pPr>
              <w:pStyle w:val="TableContents"/>
              <w:rPr>
                <w:rFonts w:ascii="Arial" w:eastAsiaTheme="minorEastAsia"/>
                <w:b/>
                <w:sz w:val="20"/>
              </w:rPr>
            </w:pPr>
          </w:p>
        </w:tc>
        <w:tc>
          <w:tcPr>
            <w:tcW w:w="2970" w:type="dxa"/>
            <w:tcBorders>
              <w:top w:val="nil"/>
              <w:left w:val="single" w:sz="2" w:space="0" w:color="000000"/>
              <w:bottom w:val="single" w:sz="2" w:space="0" w:color="000000"/>
              <w:right w:val="single" w:sz="2" w:space="0" w:color="000000"/>
            </w:tcBorders>
            <w:shd w:val="clear" w:color="auto" w:fill="auto"/>
          </w:tcPr>
          <w:p w:rsidR="002C2779" w:rsidRDefault="002C2779" w:rsidP="00E7165A">
            <w:pPr>
              <w:pStyle w:val="TableContents"/>
              <w:rPr>
                <w:rFonts w:ascii="Arial" w:eastAsiaTheme="minorEastAsia"/>
                <w:sz w:val="20"/>
              </w:rPr>
            </w:pPr>
          </w:p>
          <w:p w:rsidR="0051028B" w:rsidRPr="00CE5313" w:rsidRDefault="0051028B" w:rsidP="00E7165A">
            <w:pPr>
              <w:pStyle w:val="TableContents"/>
              <w:rPr>
                <w:rFonts w:ascii="Arial" w:eastAsiaTheme="minorEastAsia"/>
                <w:b/>
                <w:sz w:val="20"/>
              </w:rPr>
            </w:pPr>
            <w:r w:rsidRPr="00CE5313">
              <w:rPr>
                <w:rFonts w:ascii="Arial" w:eastAsiaTheme="minorEastAsia"/>
                <w:b/>
                <w:sz w:val="20"/>
              </w:rPr>
              <w:t xml:space="preserve">Applies to public libraries per </w:t>
            </w:r>
          </w:p>
          <w:p w:rsidR="0051028B" w:rsidRDefault="00A83625" w:rsidP="00E7165A">
            <w:pPr>
              <w:pStyle w:val="TableContents"/>
              <w:rPr>
                <w:rFonts w:ascii="Arial" w:eastAsiaTheme="minorEastAsia"/>
                <w:b/>
                <w:sz w:val="20"/>
              </w:rPr>
            </w:pPr>
            <w:r>
              <w:rPr>
                <w:rFonts w:ascii="Arial" w:eastAsiaTheme="minorEastAsia"/>
                <w:b/>
                <w:sz w:val="20"/>
              </w:rPr>
              <w:t>IC 5-14-3.8-2 &amp; IC 5-11-10.5-1</w:t>
            </w:r>
          </w:p>
          <w:p w:rsidR="00BF0160" w:rsidRDefault="00BF0160" w:rsidP="00E7165A">
            <w:pPr>
              <w:pStyle w:val="TableContents"/>
              <w:rPr>
                <w:rFonts w:ascii="Arial" w:eastAsiaTheme="minorEastAsia"/>
                <w:b/>
                <w:sz w:val="20"/>
              </w:rPr>
            </w:pPr>
          </w:p>
          <w:p w:rsidR="00BF0160" w:rsidRDefault="00BF0160" w:rsidP="00E7165A">
            <w:pPr>
              <w:pStyle w:val="TableContents"/>
              <w:rPr>
                <w:rFonts w:ascii="Arial" w:eastAsiaTheme="minorEastAsia"/>
                <w:b/>
                <w:sz w:val="20"/>
              </w:rPr>
            </w:pPr>
          </w:p>
          <w:p w:rsidR="00BF0160" w:rsidRDefault="00BF0160" w:rsidP="00E7165A">
            <w:pPr>
              <w:pStyle w:val="TableContents"/>
              <w:rPr>
                <w:rFonts w:ascii="Arial" w:eastAsiaTheme="minorEastAsia"/>
                <w:b/>
                <w:sz w:val="20"/>
              </w:rPr>
            </w:pPr>
          </w:p>
          <w:p w:rsidR="00BF0160" w:rsidRPr="00B371D6" w:rsidRDefault="00BF0160" w:rsidP="00BF0160">
            <w:pPr>
              <w:pStyle w:val="TableContents"/>
              <w:rPr>
                <w:rFonts w:ascii="Arial" w:eastAsiaTheme="minorEastAsia"/>
                <w:sz w:val="20"/>
              </w:rPr>
            </w:pPr>
            <w:r>
              <w:rPr>
                <w:rFonts w:ascii="Arial" w:eastAsiaTheme="minorEastAsia"/>
                <w:b/>
                <w:sz w:val="20"/>
              </w:rPr>
              <w:t>Appears to apply to public libraries but preliminary word from DLGF indicates applicability to public libraries is in question</w:t>
            </w:r>
          </w:p>
        </w:tc>
        <w:tc>
          <w:tcPr>
            <w:tcW w:w="1710" w:type="dxa"/>
            <w:tcBorders>
              <w:top w:val="nil"/>
              <w:left w:val="single" w:sz="2" w:space="0" w:color="000000"/>
              <w:bottom w:val="single" w:sz="2" w:space="0" w:color="000000"/>
              <w:right w:val="single" w:sz="2" w:space="0" w:color="000000"/>
            </w:tcBorders>
          </w:tcPr>
          <w:p w:rsidR="002C2779" w:rsidRDefault="002C2779" w:rsidP="00324C09">
            <w:pPr>
              <w:pStyle w:val="TableContents"/>
              <w:jc w:val="center"/>
              <w:rPr>
                <w:rFonts w:ascii="Arial" w:eastAsiaTheme="minorEastAsia"/>
                <w:b/>
                <w:sz w:val="20"/>
              </w:rPr>
            </w:pPr>
          </w:p>
          <w:p w:rsidR="0051028B" w:rsidRDefault="0051028B" w:rsidP="00324C09">
            <w:pPr>
              <w:pStyle w:val="TableContents"/>
              <w:jc w:val="center"/>
              <w:rPr>
                <w:rFonts w:ascii="Arial" w:eastAsiaTheme="minorEastAsia"/>
                <w:b/>
                <w:sz w:val="20"/>
              </w:rPr>
            </w:pPr>
            <w:r>
              <w:rPr>
                <w:rFonts w:ascii="Arial" w:eastAsiaTheme="minorEastAsia"/>
                <w:b/>
                <w:sz w:val="20"/>
              </w:rPr>
              <w:t>Upon Passage</w:t>
            </w:r>
          </w:p>
          <w:p w:rsidR="007F5D92" w:rsidRDefault="007F5D92" w:rsidP="00324C09">
            <w:pPr>
              <w:pStyle w:val="TableContents"/>
              <w:jc w:val="center"/>
              <w:rPr>
                <w:rFonts w:ascii="Arial" w:eastAsiaTheme="minorEastAsia"/>
                <w:b/>
                <w:sz w:val="20"/>
              </w:rPr>
            </w:pPr>
          </w:p>
          <w:p w:rsidR="007F5D92" w:rsidRDefault="007F5D92" w:rsidP="00324C09">
            <w:pPr>
              <w:pStyle w:val="TableContents"/>
              <w:jc w:val="center"/>
              <w:rPr>
                <w:rFonts w:ascii="Arial" w:eastAsiaTheme="minorEastAsia"/>
                <w:b/>
                <w:sz w:val="20"/>
              </w:rPr>
            </w:pPr>
          </w:p>
          <w:p w:rsidR="007F5D92" w:rsidRDefault="007F5D92" w:rsidP="00324C09">
            <w:pPr>
              <w:pStyle w:val="TableContents"/>
              <w:jc w:val="center"/>
              <w:rPr>
                <w:rFonts w:ascii="Arial" w:eastAsiaTheme="minorEastAsia"/>
                <w:b/>
                <w:sz w:val="20"/>
              </w:rPr>
            </w:pPr>
          </w:p>
          <w:p w:rsidR="007F5D92" w:rsidRDefault="007F5D92" w:rsidP="00324C09">
            <w:pPr>
              <w:pStyle w:val="TableContents"/>
              <w:jc w:val="center"/>
              <w:rPr>
                <w:rFonts w:ascii="Arial" w:eastAsiaTheme="minorEastAsia"/>
                <w:b/>
                <w:sz w:val="20"/>
              </w:rPr>
            </w:pPr>
          </w:p>
          <w:p w:rsidR="007F5D92" w:rsidRPr="00324C09" w:rsidRDefault="007F5D92" w:rsidP="00324C09">
            <w:pPr>
              <w:pStyle w:val="TableContents"/>
              <w:jc w:val="center"/>
              <w:rPr>
                <w:rFonts w:ascii="Arial" w:eastAsiaTheme="minorEastAsia"/>
                <w:b/>
                <w:sz w:val="20"/>
              </w:rPr>
            </w:pPr>
            <w:r>
              <w:rPr>
                <w:rFonts w:ascii="Arial" w:eastAsiaTheme="minorEastAsia"/>
                <w:b/>
                <w:sz w:val="20"/>
              </w:rPr>
              <w:t>June 30, 2015</w:t>
            </w:r>
          </w:p>
        </w:tc>
      </w:tr>
      <w:tr w:rsidR="002C2779" w:rsidRPr="00357DBF" w:rsidTr="002C2779">
        <w:tc>
          <w:tcPr>
            <w:tcW w:w="1518" w:type="dxa"/>
            <w:tcBorders>
              <w:top w:val="nil"/>
              <w:left w:val="single" w:sz="2" w:space="0" w:color="000000"/>
              <w:bottom w:val="single" w:sz="2" w:space="0" w:color="000000"/>
              <w:right w:val="nil"/>
            </w:tcBorders>
            <w:shd w:val="clear" w:color="auto" w:fill="auto"/>
          </w:tcPr>
          <w:p w:rsidR="002C2779" w:rsidRDefault="002C2779" w:rsidP="00E7165A">
            <w:pPr>
              <w:pStyle w:val="TableContents"/>
              <w:jc w:val="center"/>
              <w:rPr>
                <w:rFonts w:ascii="Arial" w:eastAsiaTheme="minorEastAsia"/>
                <w:b/>
                <w:sz w:val="20"/>
              </w:rPr>
            </w:pPr>
          </w:p>
          <w:p w:rsidR="002C2779" w:rsidRDefault="002C2779" w:rsidP="00E7165A">
            <w:pPr>
              <w:pStyle w:val="TableContents"/>
              <w:jc w:val="center"/>
              <w:rPr>
                <w:rFonts w:ascii="Arial" w:eastAsiaTheme="minorEastAsia"/>
                <w:b/>
                <w:sz w:val="20"/>
              </w:rPr>
            </w:pPr>
            <w:r>
              <w:rPr>
                <w:rFonts w:ascii="Arial" w:eastAsiaTheme="minorEastAsia"/>
                <w:b/>
                <w:sz w:val="20"/>
              </w:rPr>
              <w:t>SEA 332</w:t>
            </w:r>
          </w:p>
          <w:p w:rsidR="002C2779" w:rsidRDefault="002C2779" w:rsidP="00E7165A">
            <w:pPr>
              <w:pStyle w:val="TableContents"/>
              <w:jc w:val="center"/>
              <w:rPr>
                <w:rFonts w:ascii="Arial" w:eastAsiaTheme="minorEastAsia"/>
                <w:b/>
                <w:sz w:val="20"/>
              </w:rPr>
            </w:pPr>
          </w:p>
          <w:p w:rsidR="002C2779" w:rsidRDefault="002C2779" w:rsidP="00E7165A">
            <w:pPr>
              <w:pStyle w:val="TableContents"/>
              <w:jc w:val="center"/>
              <w:rPr>
                <w:rFonts w:ascii="Arial" w:eastAsiaTheme="minorEastAsia"/>
                <w:b/>
                <w:sz w:val="20"/>
              </w:rPr>
            </w:pPr>
            <w:r>
              <w:rPr>
                <w:rFonts w:ascii="Arial" w:eastAsiaTheme="minorEastAsia"/>
                <w:b/>
                <w:sz w:val="20"/>
              </w:rPr>
              <w:t>P.L.102-2014</w:t>
            </w:r>
          </w:p>
          <w:p w:rsidR="002C2779" w:rsidRPr="00357DBF" w:rsidRDefault="002C2779" w:rsidP="00E7165A">
            <w:pPr>
              <w:pStyle w:val="TableContents"/>
              <w:jc w:val="center"/>
              <w:rPr>
                <w:rFonts w:ascii="Arial" w:eastAsiaTheme="minorEastAsia"/>
                <w:b/>
                <w:sz w:val="20"/>
              </w:rPr>
            </w:pPr>
          </w:p>
        </w:tc>
        <w:tc>
          <w:tcPr>
            <w:tcW w:w="8010" w:type="dxa"/>
            <w:tcBorders>
              <w:top w:val="nil"/>
              <w:left w:val="single" w:sz="2" w:space="0" w:color="000000"/>
              <w:bottom w:val="single" w:sz="2" w:space="0" w:color="000000"/>
              <w:right w:val="nil"/>
            </w:tcBorders>
            <w:shd w:val="clear" w:color="auto" w:fill="auto"/>
          </w:tcPr>
          <w:p w:rsidR="002C2779" w:rsidRDefault="002C2779" w:rsidP="00E7165A">
            <w:pPr>
              <w:pStyle w:val="TableContents"/>
              <w:rPr>
                <w:rFonts w:ascii="Arial" w:eastAsiaTheme="minorEastAsia"/>
                <w:b/>
                <w:sz w:val="20"/>
              </w:rPr>
            </w:pPr>
          </w:p>
          <w:p w:rsidR="00BC3594" w:rsidRPr="00BA311C" w:rsidRDefault="00BC3594" w:rsidP="00E7165A">
            <w:pPr>
              <w:pStyle w:val="TableContents"/>
              <w:rPr>
                <w:rFonts w:ascii="Arial" w:eastAsiaTheme="minorEastAsia"/>
                <w:sz w:val="20"/>
              </w:rPr>
            </w:pPr>
            <w:r w:rsidRPr="00BC3594">
              <w:rPr>
                <w:rFonts w:ascii="Arial" w:eastAsiaTheme="minorEastAsia"/>
                <w:b/>
                <w:sz w:val="20"/>
              </w:rPr>
              <w:t>State &amp; Local Investments.</w:t>
            </w:r>
            <w:r>
              <w:rPr>
                <w:rFonts w:ascii="Arial" w:eastAsiaTheme="minorEastAsia"/>
                <w:b/>
                <w:sz w:val="20"/>
              </w:rPr>
              <w:t xml:space="preserve"> </w:t>
            </w:r>
            <w:r w:rsidR="00BA311C">
              <w:rPr>
                <w:rFonts w:ascii="Arial" w:eastAsiaTheme="minorEastAsia"/>
                <w:sz w:val="20"/>
              </w:rPr>
              <w:t>Political subdivisions are currently permitted to contract with a depository for the investment of a cash management system. This Act requires political subdivisions to include in their contract with such depository a provision stating that the depository may invest funds in the same investments and for the same terms as the treasurer of state may invest state funds.</w:t>
            </w:r>
          </w:p>
          <w:p w:rsidR="00BC3594" w:rsidRDefault="00BC3594" w:rsidP="00E7165A">
            <w:pPr>
              <w:pStyle w:val="TableContents"/>
              <w:rPr>
                <w:rFonts w:ascii="Arial" w:eastAsiaTheme="minorEastAsia"/>
                <w:b/>
                <w:sz w:val="20"/>
              </w:rPr>
            </w:pPr>
          </w:p>
          <w:p w:rsidR="00CE08BC" w:rsidRDefault="0043692B" w:rsidP="002F509A">
            <w:pPr>
              <w:pStyle w:val="TableContents"/>
            </w:pPr>
            <w:r>
              <w:rPr>
                <w:rFonts w:ascii="Arial" w:eastAsiaTheme="minorEastAsia"/>
                <w:b/>
                <w:sz w:val="20"/>
              </w:rPr>
              <w:lastRenderedPageBreak/>
              <w:t xml:space="preserve">Link to Enrolled Act:  </w:t>
            </w:r>
            <w:hyperlink r:id="rId8" w:history="1">
              <w:r w:rsidR="00757063" w:rsidRPr="007C3BE9">
                <w:rPr>
                  <w:rStyle w:val="Hyperlink"/>
                  <w:rFonts w:ascii="Arial" w:hAnsi="Arial" w:cs="Arial"/>
                  <w:sz w:val="20"/>
                  <w:szCs w:val="20"/>
                </w:rPr>
                <w:t>http://iga.in.gov/static-documents/c/e/d/d/cedd9045/SB0332.05.ENRS.pdf</w:t>
              </w:r>
            </w:hyperlink>
          </w:p>
          <w:p w:rsidR="00757063" w:rsidRPr="00BC3594" w:rsidRDefault="00757063" w:rsidP="002F509A">
            <w:pPr>
              <w:pStyle w:val="TableContents"/>
              <w:rPr>
                <w:rFonts w:ascii="Arial" w:eastAsiaTheme="minorEastAsia"/>
                <w:b/>
                <w:sz w:val="20"/>
              </w:rPr>
            </w:pPr>
          </w:p>
        </w:tc>
        <w:tc>
          <w:tcPr>
            <w:tcW w:w="2970" w:type="dxa"/>
            <w:tcBorders>
              <w:top w:val="nil"/>
              <w:left w:val="single" w:sz="2" w:space="0" w:color="000000"/>
              <w:bottom w:val="single" w:sz="2" w:space="0" w:color="000000"/>
              <w:right w:val="single" w:sz="2" w:space="0" w:color="000000"/>
            </w:tcBorders>
            <w:shd w:val="clear" w:color="auto" w:fill="auto"/>
          </w:tcPr>
          <w:p w:rsidR="002C2779" w:rsidRDefault="002C2779" w:rsidP="00E7165A">
            <w:pPr>
              <w:pStyle w:val="TableContents"/>
              <w:rPr>
                <w:rFonts w:ascii="Arial" w:eastAsiaTheme="minorEastAsia"/>
                <w:sz w:val="20"/>
              </w:rPr>
            </w:pPr>
          </w:p>
          <w:p w:rsidR="00BA311C" w:rsidRPr="00BA311C" w:rsidRDefault="00BA311C" w:rsidP="00E7165A">
            <w:pPr>
              <w:pStyle w:val="TableContents"/>
              <w:rPr>
                <w:rFonts w:ascii="Arial" w:eastAsiaTheme="minorEastAsia"/>
                <w:b/>
                <w:sz w:val="20"/>
              </w:rPr>
            </w:pPr>
            <w:r w:rsidRPr="00BA311C">
              <w:rPr>
                <w:rFonts w:ascii="Arial" w:eastAsiaTheme="minorEastAsia"/>
                <w:b/>
                <w:sz w:val="20"/>
              </w:rPr>
              <w:t>Applies to public libraries</w:t>
            </w:r>
          </w:p>
        </w:tc>
        <w:tc>
          <w:tcPr>
            <w:tcW w:w="1710" w:type="dxa"/>
            <w:tcBorders>
              <w:top w:val="nil"/>
              <w:left w:val="single" w:sz="2" w:space="0" w:color="000000"/>
              <w:bottom w:val="single" w:sz="2" w:space="0" w:color="000000"/>
              <w:right w:val="single" w:sz="2" w:space="0" w:color="000000"/>
            </w:tcBorders>
          </w:tcPr>
          <w:p w:rsidR="002C2779" w:rsidRDefault="002C2779" w:rsidP="00324C09">
            <w:pPr>
              <w:pStyle w:val="TableContents"/>
              <w:jc w:val="center"/>
              <w:rPr>
                <w:rFonts w:ascii="Arial" w:eastAsiaTheme="minorEastAsia"/>
                <w:b/>
                <w:sz w:val="20"/>
              </w:rPr>
            </w:pPr>
          </w:p>
          <w:p w:rsidR="00BC3594" w:rsidRPr="00324C09" w:rsidRDefault="00BC3594" w:rsidP="00324C09">
            <w:pPr>
              <w:pStyle w:val="TableContents"/>
              <w:jc w:val="center"/>
              <w:rPr>
                <w:rFonts w:ascii="Arial" w:eastAsiaTheme="minorEastAsia"/>
                <w:b/>
                <w:sz w:val="20"/>
              </w:rPr>
            </w:pPr>
            <w:r>
              <w:rPr>
                <w:rFonts w:ascii="Arial" w:eastAsiaTheme="minorEastAsia"/>
                <w:b/>
                <w:sz w:val="20"/>
              </w:rPr>
              <w:t>July 1, 2014</w:t>
            </w:r>
          </w:p>
        </w:tc>
      </w:tr>
      <w:tr w:rsidR="002C2779" w:rsidRPr="00357DBF" w:rsidTr="002C2779">
        <w:tc>
          <w:tcPr>
            <w:tcW w:w="1518" w:type="dxa"/>
            <w:tcBorders>
              <w:top w:val="nil"/>
              <w:left w:val="single" w:sz="2" w:space="0" w:color="000000"/>
              <w:bottom w:val="single" w:sz="2" w:space="0" w:color="000000"/>
              <w:right w:val="nil"/>
            </w:tcBorders>
            <w:shd w:val="clear" w:color="auto" w:fill="auto"/>
          </w:tcPr>
          <w:p w:rsidR="002C2779" w:rsidRDefault="002C2779" w:rsidP="00E7165A">
            <w:pPr>
              <w:pStyle w:val="TableContents"/>
              <w:jc w:val="center"/>
              <w:rPr>
                <w:rFonts w:ascii="Arial" w:eastAsiaTheme="minorEastAsia"/>
                <w:b/>
                <w:sz w:val="20"/>
              </w:rPr>
            </w:pPr>
          </w:p>
          <w:p w:rsidR="002C2779" w:rsidRDefault="002C2779" w:rsidP="00E7165A">
            <w:pPr>
              <w:pStyle w:val="TableContents"/>
              <w:jc w:val="center"/>
              <w:rPr>
                <w:rFonts w:ascii="Arial" w:eastAsiaTheme="minorEastAsia"/>
                <w:b/>
                <w:sz w:val="20"/>
              </w:rPr>
            </w:pPr>
            <w:r>
              <w:rPr>
                <w:rFonts w:ascii="Arial" w:eastAsiaTheme="minorEastAsia"/>
                <w:b/>
                <w:sz w:val="20"/>
              </w:rPr>
              <w:t>SEA 367</w:t>
            </w:r>
          </w:p>
          <w:p w:rsidR="002C2779" w:rsidRDefault="002C2779" w:rsidP="00E7165A">
            <w:pPr>
              <w:pStyle w:val="TableContents"/>
              <w:jc w:val="center"/>
              <w:rPr>
                <w:rFonts w:ascii="Arial" w:eastAsiaTheme="minorEastAsia"/>
                <w:b/>
                <w:sz w:val="20"/>
              </w:rPr>
            </w:pPr>
          </w:p>
          <w:p w:rsidR="002C2779" w:rsidRDefault="002C2779" w:rsidP="00E7165A">
            <w:pPr>
              <w:pStyle w:val="TableContents"/>
              <w:jc w:val="center"/>
              <w:rPr>
                <w:rFonts w:ascii="Arial" w:eastAsiaTheme="minorEastAsia"/>
                <w:b/>
                <w:sz w:val="20"/>
              </w:rPr>
            </w:pPr>
            <w:r>
              <w:rPr>
                <w:rFonts w:ascii="Arial" w:eastAsiaTheme="minorEastAsia"/>
                <w:b/>
                <w:sz w:val="20"/>
              </w:rPr>
              <w:t>P.L.166-2014</w:t>
            </w:r>
          </w:p>
          <w:p w:rsidR="002C2779" w:rsidRPr="00357DBF" w:rsidRDefault="002C2779" w:rsidP="00E7165A">
            <w:pPr>
              <w:pStyle w:val="TableContents"/>
              <w:jc w:val="center"/>
              <w:rPr>
                <w:rFonts w:ascii="Arial" w:eastAsiaTheme="minorEastAsia"/>
                <w:b/>
                <w:sz w:val="20"/>
              </w:rPr>
            </w:pPr>
          </w:p>
        </w:tc>
        <w:tc>
          <w:tcPr>
            <w:tcW w:w="8010" w:type="dxa"/>
            <w:tcBorders>
              <w:top w:val="nil"/>
              <w:left w:val="single" w:sz="2" w:space="0" w:color="000000"/>
              <w:bottom w:val="single" w:sz="2" w:space="0" w:color="000000"/>
              <w:right w:val="nil"/>
            </w:tcBorders>
            <w:shd w:val="clear" w:color="auto" w:fill="auto"/>
          </w:tcPr>
          <w:p w:rsidR="002C2779" w:rsidRDefault="002C2779" w:rsidP="00E7165A">
            <w:pPr>
              <w:pStyle w:val="TableContents"/>
              <w:rPr>
                <w:rFonts w:ascii="Arial" w:eastAsiaTheme="minorEastAsia"/>
                <w:b/>
                <w:sz w:val="20"/>
              </w:rPr>
            </w:pPr>
          </w:p>
          <w:p w:rsidR="00B3589B" w:rsidRPr="00B3589B" w:rsidRDefault="006A4A25" w:rsidP="00E7165A">
            <w:pPr>
              <w:pStyle w:val="TableContents"/>
              <w:rPr>
                <w:rFonts w:ascii="Arial" w:eastAsiaTheme="minorEastAsia"/>
                <w:sz w:val="20"/>
              </w:rPr>
            </w:pPr>
            <w:r w:rsidRPr="006A4A25">
              <w:rPr>
                <w:rFonts w:ascii="Arial" w:eastAsiaTheme="minorEastAsia"/>
                <w:b/>
                <w:sz w:val="20"/>
              </w:rPr>
              <w:t>Various Tax Matters</w:t>
            </w:r>
            <w:r>
              <w:rPr>
                <w:rFonts w:ascii="Arial" w:eastAsiaTheme="minorEastAsia"/>
                <w:sz w:val="20"/>
              </w:rPr>
              <w:t xml:space="preserve">. </w:t>
            </w:r>
            <w:r w:rsidR="00B3589B">
              <w:rPr>
                <w:rFonts w:ascii="Arial" w:eastAsiaTheme="minorEastAsia"/>
                <w:sz w:val="20"/>
              </w:rPr>
              <w:t>This Act s</w:t>
            </w:r>
            <w:r w:rsidR="00B3589B" w:rsidRPr="00B3589B">
              <w:rPr>
                <w:rFonts w:ascii="Arial" w:eastAsiaTheme="minorEastAsia"/>
                <w:sz w:val="20"/>
              </w:rPr>
              <w:t xml:space="preserve">pecifies that the county auditor (rather than the county treasurer, under current law) makes certain requested </w:t>
            </w:r>
            <w:r w:rsidR="00A83625">
              <w:rPr>
                <w:rFonts w:ascii="Arial" w:eastAsiaTheme="minorEastAsia"/>
                <w:sz w:val="20"/>
              </w:rPr>
              <w:t xml:space="preserve">(collected tax income) </w:t>
            </w:r>
            <w:r w:rsidR="00B3589B" w:rsidRPr="00B3589B">
              <w:rPr>
                <w:rFonts w:ascii="Arial" w:eastAsiaTheme="minorEastAsia"/>
                <w:sz w:val="20"/>
              </w:rPr>
              <w:t>advances to political subdivisions within the county. Provides that for purposes of the circuit breaker credit, residential property: (1) includes a single family dwelling that is under construction and the land, not exceeding one acre, on which the dwelling will be located; and (2) excludes real property that consists of a commercial hotel, motel, inn, tourist camp, or tourist cabin.</w:t>
            </w:r>
          </w:p>
          <w:p w:rsidR="00B3589B" w:rsidRDefault="00B3589B" w:rsidP="00E7165A">
            <w:pPr>
              <w:pStyle w:val="TableContents"/>
              <w:rPr>
                <w:rFonts w:ascii="Arial" w:eastAsiaTheme="minorEastAsia"/>
                <w:b/>
                <w:sz w:val="20"/>
              </w:rPr>
            </w:pPr>
          </w:p>
          <w:p w:rsidR="00B3589B" w:rsidRDefault="00B3589B" w:rsidP="00E7165A">
            <w:pPr>
              <w:pStyle w:val="TableContents"/>
            </w:pPr>
            <w:r>
              <w:rPr>
                <w:rFonts w:ascii="Arial" w:eastAsiaTheme="minorEastAsia"/>
                <w:b/>
                <w:sz w:val="20"/>
              </w:rPr>
              <w:t xml:space="preserve">Link to Enrolled Act:  </w:t>
            </w:r>
            <w:hyperlink r:id="rId9" w:history="1">
              <w:r w:rsidR="00757063" w:rsidRPr="007C3BE9">
                <w:rPr>
                  <w:rStyle w:val="Hyperlink"/>
                  <w:rFonts w:ascii="Arial" w:hAnsi="Arial" w:cs="Arial"/>
                  <w:sz w:val="20"/>
                  <w:szCs w:val="20"/>
                </w:rPr>
                <w:t>http://iga.in.gov/static-documents/3/b/9/f/3b9fa06f/SB0367.08.ENRS.pdf</w:t>
              </w:r>
            </w:hyperlink>
          </w:p>
          <w:p w:rsidR="00757063" w:rsidRDefault="00757063" w:rsidP="00E7165A">
            <w:pPr>
              <w:pStyle w:val="TableContents"/>
              <w:rPr>
                <w:rFonts w:ascii="Arial" w:eastAsiaTheme="minorEastAsia"/>
                <w:b/>
                <w:sz w:val="20"/>
              </w:rPr>
            </w:pPr>
          </w:p>
          <w:p w:rsidR="00B3589B" w:rsidRPr="00357DBF" w:rsidRDefault="00B3589B" w:rsidP="00E7165A">
            <w:pPr>
              <w:pStyle w:val="TableContents"/>
              <w:rPr>
                <w:rFonts w:ascii="Arial" w:eastAsiaTheme="minorEastAsia"/>
                <w:b/>
                <w:sz w:val="20"/>
              </w:rPr>
            </w:pPr>
          </w:p>
        </w:tc>
        <w:tc>
          <w:tcPr>
            <w:tcW w:w="2970" w:type="dxa"/>
            <w:tcBorders>
              <w:top w:val="nil"/>
              <w:left w:val="single" w:sz="2" w:space="0" w:color="000000"/>
              <w:bottom w:val="single" w:sz="2" w:space="0" w:color="000000"/>
              <w:right w:val="single" w:sz="2" w:space="0" w:color="000000"/>
            </w:tcBorders>
            <w:shd w:val="clear" w:color="auto" w:fill="auto"/>
          </w:tcPr>
          <w:p w:rsidR="002C2779" w:rsidRDefault="002C2779" w:rsidP="00E7165A">
            <w:pPr>
              <w:pStyle w:val="TableContents"/>
              <w:rPr>
                <w:rFonts w:ascii="Arial" w:eastAsiaTheme="minorEastAsia"/>
                <w:sz w:val="20"/>
              </w:rPr>
            </w:pPr>
          </w:p>
          <w:p w:rsidR="00A83625" w:rsidRPr="00A83625" w:rsidRDefault="005A33D4" w:rsidP="00E7165A">
            <w:pPr>
              <w:pStyle w:val="TableContents"/>
              <w:rPr>
                <w:rFonts w:ascii="Arial" w:eastAsiaTheme="minorEastAsia"/>
                <w:b/>
                <w:sz w:val="20"/>
              </w:rPr>
            </w:pPr>
            <w:r>
              <w:rPr>
                <w:rFonts w:ascii="Arial" w:eastAsiaTheme="minorEastAsia"/>
                <w:b/>
                <w:sz w:val="20"/>
              </w:rPr>
              <w:t>Affects</w:t>
            </w:r>
            <w:r w:rsidR="00A83625">
              <w:rPr>
                <w:rFonts w:ascii="Arial" w:eastAsiaTheme="minorEastAsia"/>
                <w:b/>
                <w:sz w:val="20"/>
              </w:rPr>
              <w:t xml:space="preserve"> </w:t>
            </w:r>
            <w:r w:rsidR="00A83625" w:rsidRPr="00A83625">
              <w:rPr>
                <w:rFonts w:ascii="Arial" w:eastAsiaTheme="minorEastAsia"/>
                <w:b/>
                <w:sz w:val="20"/>
              </w:rPr>
              <w:t>public libraries</w:t>
            </w:r>
          </w:p>
        </w:tc>
        <w:tc>
          <w:tcPr>
            <w:tcW w:w="1710" w:type="dxa"/>
            <w:tcBorders>
              <w:top w:val="nil"/>
              <w:left w:val="single" w:sz="2" w:space="0" w:color="000000"/>
              <w:bottom w:val="single" w:sz="2" w:space="0" w:color="000000"/>
              <w:right w:val="single" w:sz="2" w:space="0" w:color="000000"/>
            </w:tcBorders>
          </w:tcPr>
          <w:p w:rsidR="002C2779" w:rsidRDefault="002C2779" w:rsidP="00324C09">
            <w:pPr>
              <w:pStyle w:val="TableContents"/>
              <w:jc w:val="center"/>
              <w:rPr>
                <w:rFonts w:ascii="Arial" w:eastAsiaTheme="minorEastAsia"/>
                <w:b/>
                <w:sz w:val="20"/>
              </w:rPr>
            </w:pPr>
          </w:p>
          <w:p w:rsidR="00A83625" w:rsidRPr="00324C09" w:rsidRDefault="00A83625" w:rsidP="00324C09">
            <w:pPr>
              <w:pStyle w:val="TableContents"/>
              <w:jc w:val="center"/>
              <w:rPr>
                <w:rFonts w:ascii="Arial" w:eastAsiaTheme="minorEastAsia"/>
                <w:b/>
                <w:sz w:val="20"/>
              </w:rPr>
            </w:pPr>
            <w:r>
              <w:rPr>
                <w:rFonts w:ascii="Arial" w:eastAsiaTheme="minorEastAsia"/>
                <w:b/>
                <w:sz w:val="20"/>
              </w:rPr>
              <w:t>July 1, 2014</w:t>
            </w:r>
          </w:p>
        </w:tc>
      </w:tr>
      <w:tr w:rsidR="002C2779" w:rsidRPr="00357DBF" w:rsidTr="002C2779">
        <w:tc>
          <w:tcPr>
            <w:tcW w:w="1518" w:type="dxa"/>
            <w:tcBorders>
              <w:top w:val="nil"/>
              <w:left w:val="single" w:sz="2" w:space="0" w:color="000000"/>
              <w:bottom w:val="single" w:sz="2" w:space="0" w:color="000000"/>
              <w:right w:val="nil"/>
            </w:tcBorders>
            <w:shd w:val="clear" w:color="auto" w:fill="auto"/>
          </w:tcPr>
          <w:p w:rsidR="002C2779" w:rsidRDefault="002C2779" w:rsidP="00E7165A">
            <w:pPr>
              <w:pStyle w:val="TableContents"/>
              <w:jc w:val="center"/>
              <w:rPr>
                <w:rFonts w:ascii="Arial" w:eastAsiaTheme="minorEastAsia"/>
                <w:b/>
                <w:sz w:val="20"/>
              </w:rPr>
            </w:pPr>
          </w:p>
          <w:p w:rsidR="002C2779" w:rsidRDefault="002C2779" w:rsidP="00E7165A">
            <w:pPr>
              <w:pStyle w:val="TableContents"/>
              <w:jc w:val="center"/>
              <w:rPr>
                <w:rFonts w:ascii="Arial" w:eastAsiaTheme="minorEastAsia"/>
                <w:b/>
                <w:sz w:val="20"/>
              </w:rPr>
            </w:pPr>
            <w:r>
              <w:rPr>
                <w:rFonts w:ascii="Arial" w:eastAsiaTheme="minorEastAsia"/>
                <w:b/>
                <w:sz w:val="20"/>
              </w:rPr>
              <w:t>HEA 1075</w:t>
            </w:r>
          </w:p>
          <w:p w:rsidR="002C2779" w:rsidRDefault="002C2779" w:rsidP="00E7165A">
            <w:pPr>
              <w:pStyle w:val="TableContents"/>
              <w:jc w:val="center"/>
              <w:rPr>
                <w:rFonts w:ascii="Arial" w:eastAsiaTheme="minorEastAsia"/>
                <w:b/>
                <w:sz w:val="20"/>
              </w:rPr>
            </w:pPr>
          </w:p>
          <w:p w:rsidR="002C2779" w:rsidRDefault="002C2779" w:rsidP="00E7165A">
            <w:pPr>
              <w:pStyle w:val="TableContents"/>
              <w:jc w:val="center"/>
              <w:rPr>
                <w:rFonts w:ascii="Arial" w:eastAsiaTheme="minorEastAsia"/>
                <w:b/>
                <w:sz w:val="20"/>
              </w:rPr>
            </w:pPr>
            <w:r>
              <w:rPr>
                <w:rFonts w:ascii="Arial" w:eastAsiaTheme="minorEastAsia"/>
                <w:b/>
                <w:sz w:val="20"/>
              </w:rPr>
              <w:t>P.L.177-2014</w:t>
            </w:r>
          </w:p>
          <w:p w:rsidR="002C2779" w:rsidRPr="00357DBF" w:rsidRDefault="002C2779" w:rsidP="00E7165A">
            <w:pPr>
              <w:pStyle w:val="TableContents"/>
              <w:jc w:val="center"/>
              <w:rPr>
                <w:rFonts w:ascii="Arial" w:eastAsiaTheme="minorEastAsia"/>
                <w:b/>
                <w:sz w:val="20"/>
              </w:rPr>
            </w:pPr>
          </w:p>
        </w:tc>
        <w:tc>
          <w:tcPr>
            <w:tcW w:w="8010" w:type="dxa"/>
            <w:tcBorders>
              <w:top w:val="nil"/>
              <w:left w:val="single" w:sz="2" w:space="0" w:color="000000"/>
              <w:bottom w:val="single" w:sz="2" w:space="0" w:color="000000"/>
              <w:right w:val="nil"/>
            </w:tcBorders>
            <w:shd w:val="clear" w:color="auto" w:fill="auto"/>
          </w:tcPr>
          <w:p w:rsidR="002C2779" w:rsidRDefault="002C2779" w:rsidP="00E7165A">
            <w:pPr>
              <w:pStyle w:val="TableContents"/>
              <w:rPr>
                <w:rFonts w:ascii="Arial" w:eastAsiaTheme="minorEastAsia"/>
                <w:b/>
                <w:sz w:val="20"/>
              </w:rPr>
            </w:pPr>
          </w:p>
          <w:p w:rsidR="00352DAF" w:rsidRDefault="00352DAF" w:rsidP="00352DAF">
            <w:pPr>
              <w:pStyle w:val="TableContents"/>
              <w:rPr>
                <w:rFonts w:ascii="Arial" w:eastAsiaTheme="minorEastAsia"/>
                <w:sz w:val="20"/>
              </w:rPr>
            </w:pPr>
            <w:r>
              <w:rPr>
                <w:rFonts w:ascii="Arial" w:eastAsiaTheme="minorEastAsia"/>
                <w:b/>
                <w:sz w:val="20"/>
              </w:rPr>
              <w:t xml:space="preserve">PERF &amp; TRF Annuities/Public Pensions. </w:t>
            </w:r>
            <w:r w:rsidRPr="000838B5">
              <w:rPr>
                <w:rFonts w:ascii="Arial" w:eastAsiaTheme="minorEastAsia"/>
                <w:sz w:val="20"/>
              </w:rPr>
              <w:t xml:space="preserve">Provides that the board of trustees (board) of the Indiana public retirement system may not, before January 1, 2017, enter into an agreement with a third party provider to provide annuities </w:t>
            </w:r>
            <w:r w:rsidR="00254757">
              <w:rPr>
                <w:rFonts w:ascii="Arial" w:eastAsiaTheme="minorEastAsia"/>
                <w:sz w:val="20"/>
              </w:rPr>
              <w:t>f</w:t>
            </w:r>
            <w:r w:rsidRPr="000838B5">
              <w:rPr>
                <w:rFonts w:ascii="Arial" w:eastAsiaTheme="minorEastAsia"/>
                <w:sz w:val="20"/>
              </w:rPr>
              <w:t>o</w:t>
            </w:r>
            <w:r w:rsidR="00254757">
              <w:rPr>
                <w:rFonts w:ascii="Arial" w:eastAsiaTheme="minorEastAsia"/>
                <w:sz w:val="20"/>
              </w:rPr>
              <w:t>r</w:t>
            </w:r>
            <w:r w:rsidRPr="000838B5">
              <w:rPr>
                <w:rFonts w:ascii="Arial" w:eastAsiaTheme="minorEastAsia"/>
                <w:sz w:val="20"/>
              </w:rPr>
              <w:t xml:space="preserve"> retiring members of the public employees' retirement fund (PERF) and the teachers' retirement fund (TRF). </w:t>
            </w:r>
          </w:p>
          <w:p w:rsidR="00352DAF" w:rsidRDefault="00352DAF" w:rsidP="00352DAF">
            <w:pPr>
              <w:pStyle w:val="TableContents"/>
              <w:rPr>
                <w:rFonts w:ascii="Arial" w:eastAsiaTheme="minorEastAsia"/>
                <w:sz w:val="20"/>
              </w:rPr>
            </w:pPr>
          </w:p>
          <w:p w:rsidR="009C4513" w:rsidRDefault="009C4513" w:rsidP="00352DAF">
            <w:pPr>
              <w:pStyle w:val="TableContents"/>
              <w:rPr>
                <w:rFonts w:ascii="Arial" w:eastAsiaTheme="minorEastAsia"/>
                <w:sz w:val="20"/>
              </w:rPr>
            </w:pPr>
            <w:r w:rsidRPr="009C4513">
              <w:rPr>
                <w:rFonts w:ascii="Arial" w:eastAsiaTheme="minorEastAsia"/>
                <w:sz w:val="20"/>
              </w:rPr>
              <w:t xml:space="preserve">Specifies the interest rate used to determine the </w:t>
            </w:r>
            <w:r w:rsidR="007D401B">
              <w:rPr>
                <w:rFonts w:ascii="Arial" w:eastAsiaTheme="minorEastAsia"/>
                <w:sz w:val="20"/>
              </w:rPr>
              <w:t xml:space="preserve">PERF </w:t>
            </w:r>
            <w:r w:rsidRPr="009C4513">
              <w:rPr>
                <w:rFonts w:ascii="Arial" w:eastAsiaTheme="minorEastAsia"/>
                <w:sz w:val="20"/>
              </w:rPr>
              <w:t>annuity amount is: (1) 5.75%, after September 30, 2014, and before October 1, 2015 and (2) the greater of: (A) the interest rate for similar annuities being purchased in the private market as determined by the board; or (B) 4.5%; after September 30, 2015, and before January 1, 2017.</w:t>
            </w:r>
          </w:p>
          <w:p w:rsidR="009C4513" w:rsidRDefault="009C4513" w:rsidP="00352DAF">
            <w:pPr>
              <w:pStyle w:val="TableContents"/>
              <w:rPr>
                <w:rFonts w:ascii="Arial" w:eastAsiaTheme="minorEastAsia"/>
                <w:sz w:val="20"/>
              </w:rPr>
            </w:pPr>
          </w:p>
          <w:p w:rsidR="00352DAF" w:rsidRDefault="00352DAF" w:rsidP="00352DAF">
            <w:pPr>
              <w:pStyle w:val="TableContents"/>
              <w:rPr>
                <w:rFonts w:ascii="Arial" w:eastAsiaTheme="minorEastAsia"/>
                <w:sz w:val="20"/>
              </w:rPr>
            </w:pPr>
            <w:r w:rsidRPr="000838B5">
              <w:rPr>
                <w:rFonts w:ascii="Arial" w:eastAsiaTheme="minorEastAsia"/>
                <w:sz w:val="20"/>
              </w:rPr>
              <w:t>Provides that, after December 31, 2016, whenever the board enters into an agreement with a third party provider</w:t>
            </w:r>
            <w:r w:rsidR="00254757">
              <w:rPr>
                <w:rFonts w:ascii="Arial" w:eastAsiaTheme="minorEastAsia"/>
                <w:sz w:val="20"/>
              </w:rPr>
              <w:t xml:space="preserve"> to provide annuities for retiring PERF &amp; TFR members</w:t>
            </w:r>
            <w:r w:rsidRPr="000838B5">
              <w:rPr>
                <w:rFonts w:ascii="Arial" w:eastAsiaTheme="minorEastAsia"/>
                <w:sz w:val="20"/>
              </w:rPr>
              <w:t>, the interest rate used to determine the annuity amount</w:t>
            </w:r>
            <w:r w:rsidR="00254757">
              <w:rPr>
                <w:rFonts w:ascii="Arial" w:eastAsiaTheme="minorEastAsia"/>
                <w:sz w:val="20"/>
              </w:rPr>
              <w:t xml:space="preserve"> purchasable by a member</w:t>
            </w:r>
            <w:r w:rsidRPr="000838B5">
              <w:rPr>
                <w:rFonts w:ascii="Arial" w:eastAsiaTheme="minorEastAsia"/>
                <w:sz w:val="20"/>
              </w:rPr>
              <w:t xml:space="preserve"> is equal to the rate for similar annuities being purchased in the private market as recommended by the third party provider. </w:t>
            </w:r>
          </w:p>
          <w:p w:rsidR="00352DAF" w:rsidRDefault="00352DAF" w:rsidP="00352DAF">
            <w:pPr>
              <w:pStyle w:val="TableContents"/>
              <w:rPr>
                <w:rFonts w:ascii="Arial" w:eastAsiaTheme="minorEastAsia"/>
                <w:sz w:val="20"/>
              </w:rPr>
            </w:pPr>
          </w:p>
          <w:p w:rsidR="00B46505" w:rsidRDefault="00B46505" w:rsidP="00352DAF">
            <w:pPr>
              <w:pStyle w:val="TableContents"/>
              <w:rPr>
                <w:rFonts w:ascii="Arial" w:eastAsiaTheme="minorEastAsia"/>
                <w:sz w:val="20"/>
              </w:rPr>
            </w:pPr>
            <w:r>
              <w:rPr>
                <w:rFonts w:ascii="Arial" w:eastAsiaTheme="minorEastAsia"/>
                <w:sz w:val="20"/>
              </w:rPr>
              <w:lastRenderedPageBreak/>
              <w:t>Increases the maximum percent of a state employee</w:t>
            </w:r>
            <w:r>
              <w:rPr>
                <w:rFonts w:ascii="Arial" w:eastAsiaTheme="minorEastAsia"/>
                <w:sz w:val="20"/>
              </w:rPr>
              <w:t>’</w:t>
            </w:r>
            <w:r>
              <w:rPr>
                <w:rFonts w:ascii="Arial" w:eastAsiaTheme="minorEastAsia"/>
                <w:sz w:val="20"/>
              </w:rPr>
              <w:t>s base salary that may be deducted as an automatic contribution for the State</w:t>
            </w:r>
            <w:r>
              <w:rPr>
                <w:rFonts w:ascii="Arial" w:eastAsiaTheme="minorEastAsia"/>
                <w:sz w:val="20"/>
              </w:rPr>
              <w:t>’</w:t>
            </w:r>
            <w:r>
              <w:rPr>
                <w:rFonts w:ascii="Arial" w:eastAsiaTheme="minorEastAsia"/>
                <w:sz w:val="20"/>
              </w:rPr>
              <w:t>s deferred compensation plan from 3% to 5%.</w:t>
            </w:r>
          </w:p>
          <w:p w:rsidR="00B46505" w:rsidRDefault="00B46505" w:rsidP="00352DAF">
            <w:pPr>
              <w:pStyle w:val="TableContents"/>
              <w:rPr>
                <w:rFonts w:ascii="Arial" w:eastAsiaTheme="minorEastAsia"/>
                <w:sz w:val="20"/>
              </w:rPr>
            </w:pPr>
          </w:p>
          <w:p w:rsidR="00352DAF" w:rsidRDefault="00757063" w:rsidP="00352DAF">
            <w:pPr>
              <w:pStyle w:val="TableContents"/>
              <w:rPr>
                <w:rFonts w:ascii="Arial" w:eastAsiaTheme="minorEastAsia"/>
                <w:sz w:val="20"/>
              </w:rPr>
            </w:pPr>
            <w:r w:rsidRPr="00757063">
              <w:rPr>
                <w:rFonts w:ascii="Arial" w:eastAsiaTheme="minorEastAsia"/>
                <w:b/>
                <w:sz w:val="20"/>
              </w:rPr>
              <w:t>Link to Enrolled Act:</w:t>
            </w:r>
            <w:r>
              <w:rPr>
                <w:rFonts w:ascii="Arial" w:eastAsiaTheme="minorEastAsia"/>
                <w:sz w:val="20"/>
              </w:rPr>
              <w:t xml:space="preserve"> </w:t>
            </w:r>
            <w:hyperlink r:id="rId10" w:history="1">
              <w:r w:rsidRPr="00CC1D17">
                <w:rPr>
                  <w:rStyle w:val="Hyperlink"/>
                  <w:rFonts w:ascii="Arial" w:eastAsiaTheme="minorEastAsia"/>
                  <w:sz w:val="20"/>
                </w:rPr>
                <w:t>http://iga.in.gov/static-documents/a/7/b/d/a7bd1303/HB1075.07.ENRH.pdf</w:t>
              </w:r>
            </w:hyperlink>
          </w:p>
          <w:p w:rsidR="00757063" w:rsidRDefault="00757063" w:rsidP="00352DAF">
            <w:pPr>
              <w:pStyle w:val="TableContents"/>
              <w:rPr>
                <w:rFonts w:ascii="Arial" w:eastAsiaTheme="minorEastAsia"/>
                <w:sz w:val="20"/>
              </w:rPr>
            </w:pPr>
          </w:p>
          <w:p w:rsidR="001954F6" w:rsidRPr="00357DBF" w:rsidRDefault="001954F6" w:rsidP="00E7165A">
            <w:pPr>
              <w:pStyle w:val="TableContents"/>
              <w:rPr>
                <w:rFonts w:ascii="Arial" w:eastAsiaTheme="minorEastAsia"/>
                <w:b/>
                <w:sz w:val="20"/>
              </w:rPr>
            </w:pPr>
          </w:p>
        </w:tc>
        <w:tc>
          <w:tcPr>
            <w:tcW w:w="2970" w:type="dxa"/>
            <w:tcBorders>
              <w:top w:val="nil"/>
              <w:left w:val="single" w:sz="2" w:space="0" w:color="000000"/>
              <w:bottom w:val="single" w:sz="2" w:space="0" w:color="000000"/>
              <w:right w:val="single" w:sz="2" w:space="0" w:color="000000"/>
            </w:tcBorders>
            <w:shd w:val="clear" w:color="auto" w:fill="auto"/>
          </w:tcPr>
          <w:p w:rsidR="002C2779" w:rsidRDefault="002C2779" w:rsidP="00E7165A">
            <w:pPr>
              <w:pStyle w:val="TableContents"/>
              <w:rPr>
                <w:rFonts w:ascii="Arial" w:eastAsiaTheme="minorEastAsia"/>
                <w:sz w:val="20"/>
              </w:rPr>
            </w:pPr>
          </w:p>
          <w:p w:rsidR="00352DAF" w:rsidRDefault="005A33D4" w:rsidP="00E7165A">
            <w:pPr>
              <w:pStyle w:val="TableContents"/>
              <w:rPr>
                <w:rFonts w:ascii="Arial" w:eastAsiaTheme="minorEastAsia"/>
                <w:b/>
                <w:sz w:val="20"/>
              </w:rPr>
            </w:pPr>
            <w:r>
              <w:rPr>
                <w:rFonts w:ascii="Arial" w:eastAsiaTheme="minorEastAsia"/>
                <w:b/>
                <w:sz w:val="20"/>
              </w:rPr>
              <w:t>A</w:t>
            </w:r>
            <w:r w:rsidR="00352DAF" w:rsidRPr="00352DAF">
              <w:rPr>
                <w:rFonts w:ascii="Arial" w:eastAsiaTheme="minorEastAsia"/>
                <w:b/>
                <w:sz w:val="20"/>
              </w:rPr>
              <w:t>ffect</w:t>
            </w:r>
            <w:r>
              <w:rPr>
                <w:rFonts w:ascii="Arial" w:eastAsiaTheme="minorEastAsia"/>
                <w:b/>
                <w:sz w:val="20"/>
              </w:rPr>
              <w:t>s</w:t>
            </w:r>
            <w:r w:rsidR="00352DAF" w:rsidRPr="00352DAF">
              <w:rPr>
                <w:rFonts w:ascii="Arial" w:eastAsiaTheme="minorEastAsia"/>
                <w:b/>
                <w:sz w:val="20"/>
              </w:rPr>
              <w:t xml:space="preserve"> PERF members</w:t>
            </w:r>
          </w:p>
          <w:p w:rsidR="00B46505" w:rsidRDefault="00B46505" w:rsidP="00E7165A">
            <w:pPr>
              <w:pStyle w:val="TableContents"/>
              <w:rPr>
                <w:rFonts w:ascii="Arial" w:eastAsiaTheme="minorEastAsia"/>
                <w:b/>
                <w:sz w:val="20"/>
              </w:rPr>
            </w:pPr>
          </w:p>
          <w:p w:rsidR="00B46505" w:rsidRDefault="00B46505" w:rsidP="00E7165A">
            <w:pPr>
              <w:pStyle w:val="TableContents"/>
              <w:rPr>
                <w:rFonts w:ascii="Arial" w:eastAsiaTheme="minorEastAsia"/>
                <w:b/>
                <w:sz w:val="20"/>
              </w:rPr>
            </w:pPr>
          </w:p>
          <w:p w:rsidR="00B46505" w:rsidRDefault="00B46505" w:rsidP="00E7165A">
            <w:pPr>
              <w:pStyle w:val="TableContents"/>
              <w:rPr>
                <w:rFonts w:ascii="Arial" w:eastAsiaTheme="minorEastAsia"/>
                <w:b/>
                <w:sz w:val="20"/>
              </w:rPr>
            </w:pPr>
          </w:p>
          <w:p w:rsidR="00B46505" w:rsidRDefault="00B46505" w:rsidP="00E7165A">
            <w:pPr>
              <w:pStyle w:val="TableContents"/>
              <w:rPr>
                <w:rFonts w:ascii="Arial" w:eastAsiaTheme="minorEastAsia"/>
                <w:b/>
                <w:sz w:val="20"/>
              </w:rPr>
            </w:pPr>
          </w:p>
          <w:p w:rsidR="00B46505" w:rsidRDefault="00B46505" w:rsidP="00E7165A">
            <w:pPr>
              <w:pStyle w:val="TableContents"/>
              <w:rPr>
                <w:rFonts w:ascii="Arial" w:eastAsiaTheme="minorEastAsia"/>
                <w:b/>
                <w:sz w:val="20"/>
              </w:rPr>
            </w:pPr>
          </w:p>
          <w:p w:rsidR="00B46505" w:rsidRDefault="00B46505" w:rsidP="00E7165A">
            <w:pPr>
              <w:pStyle w:val="TableContents"/>
              <w:rPr>
                <w:rFonts w:ascii="Arial" w:eastAsiaTheme="minorEastAsia"/>
                <w:b/>
                <w:sz w:val="20"/>
              </w:rPr>
            </w:pPr>
          </w:p>
          <w:p w:rsidR="00B46505" w:rsidRDefault="00B46505" w:rsidP="00E7165A">
            <w:pPr>
              <w:pStyle w:val="TableContents"/>
              <w:rPr>
                <w:rFonts w:ascii="Arial" w:eastAsiaTheme="minorEastAsia"/>
                <w:b/>
                <w:sz w:val="20"/>
              </w:rPr>
            </w:pPr>
          </w:p>
          <w:p w:rsidR="00B46505" w:rsidRDefault="00B46505" w:rsidP="00E7165A">
            <w:pPr>
              <w:pStyle w:val="TableContents"/>
              <w:rPr>
                <w:rFonts w:ascii="Arial" w:eastAsiaTheme="minorEastAsia"/>
                <w:b/>
                <w:sz w:val="20"/>
              </w:rPr>
            </w:pPr>
          </w:p>
          <w:p w:rsidR="00B46505" w:rsidRDefault="00B46505" w:rsidP="00E7165A">
            <w:pPr>
              <w:pStyle w:val="TableContents"/>
              <w:rPr>
                <w:rFonts w:ascii="Arial" w:eastAsiaTheme="minorEastAsia"/>
                <w:b/>
                <w:sz w:val="20"/>
              </w:rPr>
            </w:pPr>
          </w:p>
          <w:p w:rsidR="00B46505" w:rsidRDefault="00B46505" w:rsidP="00E7165A">
            <w:pPr>
              <w:pStyle w:val="TableContents"/>
              <w:rPr>
                <w:rFonts w:ascii="Arial" w:eastAsiaTheme="minorEastAsia"/>
                <w:b/>
                <w:sz w:val="20"/>
              </w:rPr>
            </w:pPr>
          </w:p>
          <w:p w:rsidR="00B46505" w:rsidRDefault="00B46505" w:rsidP="00E7165A">
            <w:pPr>
              <w:pStyle w:val="TableContents"/>
              <w:rPr>
                <w:rFonts w:ascii="Arial" w:eastAsiaTheme="minorEastAsia"/>
                <w:b/>
                <w:sz w:val="20"/>
              </w:rPr>
            </w:pPr>
          </w:p>
          <w:p w:rsidR="00B46505" w:rsidRDefault="00B46505" w:rsidP="00E7165A">
            <w:pPr>
              <w:pStyle w:val="TableContents"/>
              <w:rPr>
                <w:rFonts w:ascii="Arial" w:eastAsiaTheme="minorEastAsia"/>
                <w:b/>
                <w:sz w:val="20"/>
              </w:rPr>
            </w:pPr>
          </w:p>
          <w:p w:rsidR="00B46505" w:rsidRDefault="00B46505" w:rsidP="00E7165A">
            <w:pPr>
              <w:pStyle w:val="TableContents"/>
              <w:rPr>
                <w:rFonts w:ascii="Arial" w:eastAsiaTheme="minorEastAsia"/>
                <w:b/>
                <w:sz w:val="20"/>
              </w:rPr>
            </w:pPr>
          </w:p>
          <w:p w:rsidR="00B46505" w:rsidRDefault="00B46505" w:rsidP="00E7165A">
            <w:pPr>
              <w:pStyle w:val="TableContents"/>
              <w:rPr>
                <w:rFonts w:ascii="Arial" w:eastAsiaTheme="minorEastAsia"/>
                <w:b/>
                <w:sz w:val="20"/>
              </w:rPr>
            </w:pPr>
          </w:p>
          <w:p w:rsidR="00B46505" w:rsidRDefault="00B46505" w:rsidP="00E7165A">
            <w:pPr>
              <w:pStyle w:val="TableContents"/>
              <w:rPr>
                <w:rFonts w:ascii="Arial" w:eastAsiaTheme="minorEastAsia"/>
                <w:b/>
                <w:sz w:val="20"/>
              </w:rPr>
            </w:pPr>
          </w:p>
          <w:p w:rsidR="00B46505" w:rsidRPr="00352DAF" w:rsidRDefault="00B46505" w:rsidP="00E7165A">
            <w:pPr>
              <w:pStyle w:val="TableContents"/>
              <w:rPr>
                <w:rFonts w:ascii="Arial" w:eastAsiaTheme="minorEastAsia"/>
                <w:b/>
                <w:sz w:val="20"/>
              </w:rPr>
            </w:pPr>
            <w:r>
              <w:rPr>
                <w:rFonts w:ascii="Arial" w:eastAsiaTheme="minorEastAsia"/>
                <w:b/>
                <w:sz w:val="20"/>
              </w:rPr>
              <w:lastRenderedPageBreak/>
              <w:t>Affects State Employees</w:t>
            </w:r>
          </w:p>
        </w:tc>
        <w:tc>
          <w:tcPr>
            <w:tcW w:w="1710" w:type="dxa"/>
            <w:tcBorders>
              <w:top w:val="nil"/>
              <w:left w:val="single" w:sz="2" w:space="0" w:color="000000"/>
              <w:bottom w:val="single" w:sz="2" w:space="0" w:color="000000"/>
              <w:right w:val="single" w:sz="2" w:space="0" w:color="000000"/>
            </w:tcBorders>
          </w:tcPr>
          <w:p w:rsidR="002C2779" w:rsidRDefault="002C2779" w:rsidP="00324C09">
            <w:pPr>
              <w:pStyle w:val="TableContents"/>
              <w:jc w:val="center"/>
              <w:rPr>
                <w:rFonts w:ascii="Arial" w:eastAsiaTheme="minorEastAsia"/>
                <w:b/>
                <w:sz w:val="20"/>
              </w:rPr>
            </w:pPr>
          </w:p>
          <w:p w:rsidR="00352DAF" w:rsidRPr="00324C09" w:rsidRDefault="00352DAF" w:rsidP="00324C09">
            <w:pPr>
              <w:pStyle w:val="TableContents"/>
              <w:jc w:val="center"/>
              <w:rPr>
                <w:rFonts w:ascii="Arial" w:eastAsiaTheme="minorEastAsia"/>
                <w:b/>
                <w:sz w:val="20"/>
              </w:rPr>
            </w:pPr>
            <w:r>
              <w:rPr>
                <w:rFonts w:ascii="Arial" w:eastAsiaTheme="minorEastAsia"/>
                <w:b/>
                <w:sz w:val="20"/>
              </w:rPr>
              <w:t>Upon Passage</w:t>
            </w:r>
          </w:p>
        </w:tc>
      </w:tr>
      <w:tr w:rsidR="002C2779" w:rsidRPr="00357DBF" w:rsidTr="002C2779">
        <w:tc>
          <w:tcPr>
            <w:tcW w:w="1518" w:type="dxa"/>
            <w:tcBorders>
              <w:top w:val="nil"/>
              <w:left w:val="single" w:sz="2" w:space="0" w:color="000000"/>
              <w:bottom w:val="single" w:sz="2" w:space="0" w:color="000000"/>
              <w:right w:val="nil"/>
            </w:tcBorders>
            <w:shd w:val="clear" w:color="auto" w:fill="auto"/>
          </w:tcPr>
          <w:p w:rsidR="002C2779" w:rsidRDefault="002C2779" w:rsidP="00E7165A">
            <w:pPr>
              <w:pStyle w:val="TableContents"/>
              <w:jc w:val="center"/>
              <w:rPr>
                <w:rFonts w:ascii="Arial" w:eastAsiaTheme="minorEastAsia"/>
                <w:b/>
                <w:sz w:val="20"/>
              </w:rPr>
            </w:pPr>
          </w:p>
          <w:p w:rsidR="002C2779" w:rsidRDefault="002C2779" w:rsidP="00E7165A">
            <w:pPr>
              <w:pStyle w:val="TableContents"/>
              <w:jc w:val="center"/>
              <w:rPr>
                <w:rFonts w:ascii="Arial" w:eastAsiaTheme="minorEastAsia"/>
                <w:b/>
                <w:sz w:val="20"/>
              </w:rPr>
            </w:pPr>
            <w:r>
              <w:rPr>
                <w:rFonts w:ascii="Arial" w:eastAsiaTheme="minorEastAsia"/>
                <w:b/>
                <w:sz w:val="20"/>
              </w:rPr>
              <w:t>SEA 209</w:t>
            </w:r>
          </w:p>
          <w:p w:rsidR="002C2779" w:rsidRDefault="002C2779" w:rsidP="00E7165A">
            <w:pPr>
              <w:pStyle w:val="TableContents"/>
              <w:jc w:val="center"/>
              <w:rPr>
                <w:rFonts w:ascii="Arial" w:eastAsiaTheme="minorEastAsia"/>
                <w:b/>
                <w:sz w:val="20"/>
              </w:rPr>
            </w:pPr>
          </w:p>
          <w:p w:rsidR="002C2779" w:rsidRDefault="002C2779" w:rsidP="00E7165A">
            <w:pPr>
              <w:pStyle w:val="TableContents"/>
              <w:jc w:val="center"/>
              <w:rPr>
                <w:rFonts w:ascii="Arial" w:eastAsiaTheme="minorEastAsia"/>
                <w:b/>
                <w:sz w:val="20"/>
              </w:rPr>
            </w:pPr>
            <w:r>
              <w:rPr>
                <w:rFonts w:ascii="Arial" w:eastAsiaTheme="minorEastAsia"/>
                <w:b/>
                <w:sz w:val="20"/>
              </w:rPr>
              <w:t>P.L.5-2014</w:t>
            </w:r>
          </w:p>
          <w:p w:rsidR="002C2779" w:rsidRPr="00357DBF" w:rsidRDefault="002C2779" w:rsidP="00E7165A">
            <w:pPr>
              <w:pStyle w:val="TableContents"/>
              <w:jc w:val="center"/>
              <w:rPr>
                <w:rFonts w:ascii="Arial" w:eastAsiaTheme="minorEastAsia"/>
                <w:b/>
                <w:sz w:val="20"/>
              </w:rPr>
            </w:pPr>
          </w:p>
        </w:tc>
        <w:tc>
          <w:tcPr>
            <w:tcW w:w="8010" w:type="dxa"/>
            <w:tcBorders>
              <w:top w:val="nil"/>
              <w:left w:val="single" w:sz="2" w:space="0" w:color="000000"/>
              <w:bottom w:val="single" w:sz="2" w:space="0" w:color="000000"/>
              <w:right w:val="nil"/>
            </w:tcBorders>
            <w:shd w:val="clear" w:color="auto" w:fill="auto"/>
          </w:tcPr>
          <w:p w:rsidR="002C2779" w:rsidRDefault="002C2779" w:rsidP="00E7165A">
            <w:pPr>
              <w:pStyle w:val="TableContents"/>
              <w:rPr>
                <w:rFonts w:ascii="Arial" w:eastAsiaTheme="minorEastAsia"/>
                <w:b/>
                <w:sz w:val="20"/>
              </w:rPr>
            </w:pPr>
          </w:p>
          <w:p w:rsidR="005A33D4" w:rsidRDefault="005A33D4" w:rsidP="00E7165A">
            <w:pPr>
              <w:pStyle w:val="TableContents"/>
              <w:rPr>
                <w:rFonts w:ascii="Arial" w:eastAsiaTheme="minorEastAsia"/>
                <w:b/>
                <w:sz w:val="20"/>
              </w:rPr>
            </w:pPr>
            <w:r>
              <w:rPr>
                <w:rFonts w:ascii="Arial" w:eastAsiaTheme="minorEastAsia"/>
                <w:b/>
                <w:sz w:val="20"/>
              </w:rPr>
              <w:t>P</w:t>
            </w:r>
            <w:r w:rsidRPr="005A33D4">
              <w:rPr>
                <w:rFonts w:ascii="Arial" w:eastAsiaTheme="minorEastAsia"/>
                <w:b/>
                <w:sz w:val="20"/>
              </w:rPr>
              <w:t xml:space="preserve">ublic employee contributions to ASA only pension plan. </w:t>
            </w:r>
            <w:r w:rsidRPr="005A33D4">
              <w:rPr>
                <w:rFonts w:ascii="Arial" w:eastAsiaTheme="minorEastAsia"/>
                <w:sz w:val="20"/>
              </w:rPr>
              <w:t>Permits a member of the public employees' defined contribution plan (ASA only plan) to make contributions to the ASA only plan in addition to the required contribution of 3% of the member's compensation paid by the state on behalf of the member each year. Provides that additional contributions to the ASA only plan are made on the same basis and subject to the same limitations as additional contributions made by a member of the public employees' retirement fund</w:t>
            </w:r>
            <w:r w:rsidRPr="005A33D4">
              <w:rPr>
                <w:rFonts w:ascii="Arial" w:eastAsiaTheme="minorEastAsia"/>
                <w:b/>
                <w:sz w:val="20"/>
              </w:rPr>
              <w:t>.</w:t>
            </w:r>
          </w:p>
          <w:p w:rsidR="005A33D4" w:rsidRDefault="005A33D4" w:rsidP="00E7165A">
            <w:pPr>
              <w:pStyle w:val="TableContents"/>
              <w:rPr>
                <w:rFonts w:ascii="Arial" w:eastAsiaTheme="minorEastAsia"/>
                <w:b/>
                <w:sz w:val="20"/>
              </w:rPr>
            </w:pPr>
          </w:p>
          <w:p w:rsidR="005A33D4" w:rsidRDefault="005A33D4" w:rsidP="00E7165A">
            <w:pPr>
              <w:pStyle w:val="TableContents"/>
              <w:rPr>
                <w:rFonts w:ascii="Arial" w:eastAsiaTheme="minorEastAsia"/>
                <w:sz w:val="20"/>
              </w:rPr>
            </w:pPr>
            <w:r w:rsidRPr="00757063">
              <w:rPr>
                <w:rFonts w:ascii="Arial" w:eastAsiaTheme="minorEastAsia"/>
                <w:b/>
                <w:sz w:val="20"/>
              </w:rPr>
              <w:t>Link to Enrolled Act:</w:t>
            </w:r>
            <w:r>
              <w:rPr>
                <w:rFonts w:ascii="Arial" w:eastAsiaTheme="minorEastAsia"/>
                <w:sz w:val="20"/>
              </w:rPr>
              <w:t xml:space="preserve"> </w:t>
            </w:r>
            <w:hyperlink r:id="rId11" w:history="1">
              <w:r w:rsidRPr="00CC1D17">
                <w:rPr>
                  <w:rStyle w:val="Hyperlink"/>
                  <w:rFonts w:ascii="Arial" w:eastAsiaTheme="minorEastAsia"/>
                  <w:sz w:val="20"/>
                </w:rPr>
                <w:t>http://iga.in.gov/static-documents/7/c/4/b/7c4b035b/SB0209.04.ENRS.pdf</w:t>
              </w:r>
            </w:hyperlink>
          </w:p>
          <w:p w:rsidR="005A33D4" w:rsidRPr="005A33D4" w:rsidRDefault="005A33D4" w:rsidP="00E7165A">
            <w:pPr>
              <w:pStyle w:val="TableContents"/>
              <w:rPr>
                <w:rFonts w:ascii="Arial" w:eastAsiaTheme="minorEastAsia"/>
                <w:sz w:val="20"/>
              </w:rPr>
            </w:pPr>
          </w:p>
        </w:tc>
        <w:tc>
          <w:tcPr>
            <w:tcW w:w="2970" w:type="dxa"/>
            <w:tcBorders>
              <w:top w:val="nil"/>
              <w:left w:val="single" w:sz="2" w:space="0" w:color="000000"/>
              <w:bottom w:val="single" w:sz="2" w:space="0" w:color="000000"/>
              <w:right w:val="single" w:sz="2" w:space="0" w:color="000000"/>
            </w:tcBorders>
            <w:shd w:val="clear" w:color="auto" w:fill="auto"/>
          </w:tcPr>
          <w:p w:rsidR="00F611CA" w:rsidRDefault="00F611CA" w:rsidP="00E7165A">
            <w:pPr>
              <w:pStyle w:val="TableContents"/>
              <w:rPr>
                <w:rFonts w:ascii="Arial" w:eastAsiaTheme="minorEastAsia"/>
                <w:b/>
                <w:sz w:val="20"/>
              </w:rPr>
            </w:pPr>
          </w:p>
          <w:p w:rsidR="002C2779" w:rsidRPr="00940AAF" w:rsidRDefault="00940AAF" w:rsidP="006C630A">
            <w:pPr>
              <w:pStyle w:val="TableContents"/>
              <w:rPr>
                <w:rFonts w:ascii="Arial" w:eastAsiaTheme="minorEastAsia"/>
                <w:b/>
                <w:sz w:val="20"/>
              </w:rPr>
            </w:pPr>
            <w:r w:rsidRPr="00940AAF">
              <w:rPr>
                <w:rFonts w:ascii="Arial" w:eastAsiaTheme="minorEastAsia"/>
                <w:b/>
                <w:sz w:val="20"/>
              </w:rPr>
              <w:t xml:space="preserve">Applies to full time </w:t>
            </w:r>
            <w:r w:rsidR="006C630A">
              <w:rPr>
                <w:rFonts w:ascii="Arial" w:eastAsiaTheme="minorEastAsia"/>
                <w:b/>
                <w:sz w:val="20"/>
              </w:rPr>
              <w:t>S</w:t>
            </w:r>
            <w:r w:rsidRPr="00940AAF">
              <w:rPr>
                <w:rFonts w:ascii="Arial" w:eastAsiaTheme="minorEastAsia"/>
                <w:b/>
                <w:sz w:val="20"/>
              </w:rPr>
              <w:t xml:space="preserve">tate employees who are </w:t>
            </w:r>
            <w:r>
              <w:rPr>
                <w:rFonts w:ascii="Arial" w:eastAsiaTheme="minorEastAsia"/>
                <w:b/>
                <w:sz w:val="20"/>
              </w:rPr>
              <w:t xml:space="preserve">ASA </w:t>
            </w:r>
            <w:r w:rsidRPr="00940AAF">
              <w:rPr>
                <w:rFonts w:ascii="Arial" w:eastAsiaTheme="minorEastAsia"/>
                <w:b/>
                <w:sz w:val="20"/>
              </w:rPr>
              <w:t>plan participants</w:t>
            </w:r>
          </w:p>
        </w:tc>
        <w:tc>
          <w:tcPr>
            <w:tcW w:w="1710" w:type="dxa"/>
            <w:tcBorders>
              <w:top w:val="nil"/>
              <w:left w:val="single" w:sz="2" w:space="0" w:color="000000"/>
              <w:bottom w:val="single" w:sz="2" w:space="0" w:color="000000"/>
              <w:right w:val="single" w:sz="2" w:space="0" w:color="000000"/>
            </w:tcBorders>
          </w:tcPr>
          <w:p w:rsidR="002C2779" w:rsidRDefault="002C2779" w:rsidP="00324C09">
            <w:pPr>
              <w:pStyle w:val="TableContents"/>
              <w:jc w:val="center"/>
              <w:rPr>
                <w:rFonts w:ascii="Arial" w:eastAsiaTheme="minorEastAsia"/>
                <w:b/>
                <w:sz w:val="20"/>
              </w:rPr>
            </w:pPr>
          </w:p>
          <w:p w:rsidR="005A33D4" w:rsidRPr="00324C09" w:rsidRDefault="005A33D4" w:rsidP="00324C09">
            <w:pPr>
              <w:pStyle w:val="TableContents"/>
              <w:jc w:val="center"/>
              <w:rPr>
                <w:rFonts w:ascii="Arial" w:eastAsiaTheme="minorEastAsia"/>
                <w:b/>
                <w:sz w:val="20"/>
              </w:rPr>
            </w:pPr>
            <w:r>
              <w:rPr>
                <w:rFonts w:ascii="Arial" w:eastAsiaTheme="minorEastAsia"/>
                <w:b/>
                <w:sz w:val="20"/>
              </w:rPr>
              <w:t>July 1,2014</w:t>
            </w:r>
          </w:p>
        </w:tc>
      </w:tr>
      <w:tr w:rsidR="002C2779" w:rsidRPr="00357DBF" w:rsidTr="002C2779">
        <w:tc>
          <w:tcPr>
            <w:tcW w:w="1518" w:type="dxa"/>
            <w:tcBorders>
              <w:top w:val="nil"/>
              <w:left w:val="single" w:sz="2" w:space="0" w:color="000000"/>
              <w:bottom w:val="single" w:sz="2" w:space="0" w:color="000000"/>
              <w:right w:val="nil"/>
            </w:tcBorders>
            <w:shd w:val="clear" w:color="auto" w:fill="auto"/>
          </w:tcPr>
          <w:p w:rsidR="002C2779" w:rsidRDefault="002C2779" w:rsidP="00E7165A">
            <w:pPr>
              <w:pStyle w:val="TableContents"/>
              <w:jc w:val="center"/>
              <w:rPr>
                <w:rFonts w:ascii="Arial" w:eastAsiaTheme="minorEastAsia"/>
                <w:b/>
                <w:sz w:val="20"/>
              </w:rPr>
            </w:pPr>
          </w:p>
          <w:p w:rsidR="002C2779" w:rsidRDefault="002C2779" w:rsidP="00E7165A">
            <w:pPr>
              <w:pStyle w:val="TableContents"/>
              <w:jc w:val="center"/>
              <w:rPr>
                <w:rFonts w:ascii="Arial" w:eastAsiaTheme="minorEastAsia"/>
                <w:b/>
                <w:sz w:val="20"/>
              </w:rPr>
            </w:pPr>
            <w:r>
              <w:rPr>
                <w:rFonts w:ascii="Arial" w:eastAsiaTheme="minorEastAsia"/>
                <w:b/>
                <w:sz w:val="20"/>
              </w:rPr>
              <w:t>HEA 1062</w:t>
            </w:r>
          </w:p>
          <w:p w:rsidR="002C2779" w:rsidRDefault="002C2779" w:rsidP="00E7165A">
            <w:pPr>
              <w:pStyle w:val="TableContents"/>
              <w:jc w:val="center"/>
              <w:rPr>
                <w:rFonts w:ascii="Arial" w:eastAsiaTheme="minorEastAsia"/>
                <w:b/>
                <w:sz w:val="20"/>
              </w:rPr>
            </w:pPr>
          </w:p>
          <w:p w:rsidR="002C2779" w:rsidRDefault="002C2779" w:rsidP="00E7165A">
            <w:pPr>
              <w:pStyle w:val="TableContents"/>
              <w:jc w:val="center"/>
              <w:rPr>
                <w:rFonts w:ascii="Arial" w:eastAsiaTheme="minorEastAsia"/>
                <w:b/>
                <w:sz w:val="20"/>
              </w:rPr>
            </w:pPr>
            <w:r>
              <w:rPr>
                <w:rFonts w:ascii="Arial" w:eastAsiaTheme="minorEastAsia"/>
                <w:b/>
                <w:sz w:val="20"/>
              </w:rPr>
              <w:t>P.L.120-2014</w:t>
            </w:r>
          </w:p>
          <w:p w:rsidR="002C2779" w:rsidRPr="00357DBF" w:rsidRDefault="002C2779" w:rsidP="00E7165A">
            <w:pPr>
              <w:pStyle w:val="TableContents"/>
              <w:jc w:val="center"/>
              <w:rPr>
                <w:rFonts w:ascii="Arial" w:eastAsiaTheme="minorEastAsia"/>
                <w:b/>
                <w:sz w:val="20"/>
              </w:rPr>
            </w:pPr>
          </w:p>
        </w:tc>
        <w:tc>
          <w:tcPr>
            <w:tcW w:w="8010" w:type="dxa"/>
            <w:tcBorders>
              <w:top w:val="nil"/>
              <w:left w:val="single" w:sz="2" w:space="0" w:color="000000"/>
              <w:bottom w:val="single" w:sz="2" w:space="0" w:color="000000"/>
              <w:right w:val="nil"/>
            </w:tcBorders>
            <w:shd w:val="clear" w:color="auto" w:fill="auto"/>
          </w:tcPr>
          <w:p w:rsidR="00F611CA" w:rsidRDefault="00F611CA" w:rsidP="00E7165A">
            <w:pPr>
              <w:pStyle w:val="TableContents"/>
              <w:rPr>
                <w:rFonts w:ascii="Arial" w:eastAsiaTheme="minorEastAsia"/>
                <w:b/>
                <w:sz w:val="20"/>
              </w:rPr>
            </w:pPr>
          </w:p>
          <w:p w:rsidR="002C2779" w:rsidRDefault="00F611CA" w:rsidP="00E7165A">
            <w:pPr>
              <w:pStyle w:val="TableContents"/>
              <w:rPr>
                <w:rFonts w:ascii="Arial" w:eastAsiaTheme="minorEastAsia"/>
                <w:sz w:val="20"/>
              </w:rPr>
            </w:pPr>
            <w:r w:rsidRPr="00357DBF">
              <w:rPr>
                <w:rFonts w:ascii="Arial" w:eastAsiaTheme="minorEastAsia"/>
                <w:b/>
                <w:sz w:val="20"/>
              </w:rPr>
              <w:t xml:space="preserve">Debt Service Funds. </w:t>
            </w:r>
            <w:r>
              <w:rPr>
                <w:rFonts w:ascii="Arial" w:eastAsiaTheme="minorEastAsia"/>
                <w:sz w:val="20"/>
              </w:rPr>
              <w:t>This Act p</w:t>
            </w:r>
            <w:r w:rsidRPr="00357DBF">
              <w:rPr>
                <w:rFonts w:ascii="Arial" w:eastAsiaTheme="minorEastAsia"/>
                <w:sz w:val="20"/>
              </w:rPr>
              <w:t>rovides limits for debt service fund operating balance</w:t>
            </w:r>
            <w:r>
              <w:rPr>
                <w:rFonts w:ascii="Arial" w:eastAsiaTheme="minorEastAsia"/>
                <w:sz w:val="20"/>
              </w:rPr>
              <w:t>s</w:t>
            </w:r>
            <w:r w:rsidRPr="00357DBF">
              <w:rPr>
                <w:rFonts w:ascii="Arial" w:eastAsiaTheme="minorEastAsia"/>
                <w:sz w:val="20"/>
              </w:rPr>
              <w:t>.</w:t>
            </w:r>
            <w:r>
              <w:rPr>
                <w:rFonts w:ascii="Arial" w:eastAsiaTheme="minorEastAsia"/>
                <w:sz w:val="20"/>
              </w:rPr>
              <w:t xml:space="preserve"> This Act p</w:t>
            </w:r>
            <w:r w:rsidRPr="004C3C6C">
              <w:rPr>
                <w:rFonts w:ascii="Arial" w:eastAsiaTheme="minorEastAsia"/>
                <w:sz w:val="20"/>
              </w:rPr>
              <w:t>rovides that for all political subdivisions, the maximum amount allowed for an operating balance for a debt service fund is 50% of the budget estimate for annual debt service payments from the fund for debt originally incurred before July 1, 2014, including refinanced debt, and 15% on debt originally incurred after June 30, 2014.</w:t>
            </w:r>
          </w:p>
          <w:p w:rsidR="00F611CA" w:rsidRDefault="00F611CA" w:rsidP="00E7165A">
            <w:pPr>
              <w:pStyle w:val="TableContents"/>
              <w:rPr>
                <w:rFonts w:ascii="Arial" w:eastAsiaTheme="minorEastAsia"/>
                <w:sz w:val="20"/>
              </w:rPr>
            </w:pPr>
          </w:p>
          <w:p w:rsidR="00F611CA" w:rsidRDefault="00F611CA" w:rsidP="00E7165A">
            <w:pPr>
              <w:pStyle w:val="TableContents"/>
              <w:rPr>
                <w:rFonts w:ascii="Arial" w:eastAsiaTheme="minorEastAsia"/>
                <w:sz w:val="20"/>
              </w:rPr>
            </w:pPr>
            <w:r w:rsidRPr="00757063">
              <w:rPr>
                <w:rFonts w:ascii="Arial" w:eastAsiaTheme="minorEastAsia"/>
                <w:b/>
                <w:sz w:val="20"/>
              </w:rPr>
              <w:t>Link to Enrolled Act:</w:t>
            </w:r>
            <w:r>
              <w:rPr>
                <w:rFonts w:ascii="Arial" w:eastAsiaTheme="minorEastAsia"/>
                <w:sz w:val="20"/>
              </w:rPr>
              <w:t xml:space="preserve"> </w:t>
            </w:r>
            <w:hyperlink r:id="rId12" w:history="1">
              <w:r w:rsidRPr="00CC1D17">
                <w:rPr>
                  <w:rStyle w:val="Hyperlink"/>
                  <w:rFonts w:ascii="Arial" w:eastAsiaTheme="minorEastAsia"/>
                  <w:sz w:val="20"/>
                </w:rPr>
                <w:t>http://iga.in.gov/static-documents/3/e/7/3/3e737c8d/HB1062.05.ENRH.pdf</w:t>
              </w:r>
            </w:hyperlink>
          </w:p>
          <w:p w:rsidR="00F611CA" w:rsidRDefault="00F611CA" w:rsidP="00E7165A">
            <w:pPr>
              <w:pStyle w:val="TableContents"/>
              <w:rPr>
                <w:rFonts w:ascii="Arial" w:eastAsiaTheme="minorEastAsia"/>
                <w:sz w:val="20"/>
              </w:rPr>
            </w:pPr>
          </w:p>
          <w:p w:rsidR="00F611CA" w:rsidRPr="00357DBF" w:rsidRDefault="00F611CA" w:rsidP="00E7165A">
            <w:pPr>
              <w:pStyle w:val="TableContents"/>
              <w:rPr>
                <w:rFonts w:ascii="Arial" w:eastAsiaTheme="minorEastAsia"/>
                <w:b/>
                <w:sz w:val="20"/>
              </w:rPr>
            </w:pPr>
          </w:p>
        </w:tc>
        <w:tc>
          <w:tcPr>
            <w:tcW w:w="2970" w:type="dxa"/>
            <w:tcBorders>
              <w:top w:val="nil"/>
              <w:left w:val="single" w:sz="2" w:space="0" w:color="000000"/>
              <w:bottom w:val="single" w:sz="2" w:space="0" w:color="000000"/>
              <w:right w:val="single" w:sz="2" w:space="0" w:color="000000"/>
            </w:tcBorders>
            <w:shd w:val="clear" w:color="auto" w:fill="auto"/>
          </w:tcPr>
          <w:p w:rsidR="002C2779" w:rsidRDefault="002C2779" w:rsidP="00E7165A">
            <w:pPr>
              <w:pStyle w:val="TableContents"/>
              <w:rPr>
                <w:rFonts w:ascii="Arial" w:eastAsiaTheme="minorEastAsia"/>
                <w:sz w:val="20"/>
              </w:rPr>
            </w:pPr>
          </w:p>
          <w:p w:rsidR="00F611CA" w:rsidRPr="009F62F3" w:rsidRDefault="009F62F3" w:rsidP="009F62F3">
            <w:pPr>
              <w:pStyle w:val="TableContents"/>
              <w:rPr>
                <w:rFonts w:ascii="Arial" w:eastAsiaTheme="minorEastAsia"/>
                <w:b/>
                <w:sz w:val="20"/>
              </w:rPr>
            </w:pPr>
            <w:r w:rsidRPr="009F62F3">
              <w:rPr>
                <w:rFonts w:ascii="Arial" w:eastAsiaTheme="minorEastAsia"/>
                <w:b/>
                <w:sz w:val="20"/>
              </w:rPr>
              <w:t>Appears to apply to political subdivisions</w:t>
            </w:r>
            <w:r>
              <w:rPr>
                <w:rFonts w:ascii="Arial" w:eastAsiaTheme="minorEastAsia"/>
                <w:b/>
                <w:sz w:val="20"/>
              </w:rPr>
              <w:t>/public libraries</w:t>
            </w:r>
          </w:p>
        </w:tc>
        <w:tc>
          <w:tcPr>
            <w:tcW w:w="1710" w:type="dxa"/>
            <w:tcBorders>
              <w:top w:val="nil"/>
              <w:left w:val="single" w:sz="2" w:space="0" w:color="000000"/>
              <w:bottom w:val="single" w:sz="2" w:space="0" w:color="000000"/>
              <w:right w:val="single" w:sz="2" w:space="0" w:color="000000"/>
            </w:tcBorders>
          </w:tcPr>
          <w:p w:rsidR="002C2779" w:rsidRDefault="002C2779" w:rsidP="00324C09">
            <w:pPr>
              <w:pStyle w:val="TableContents"/>
              <w:jc w:val="center"/>
              <w:rPr>
                <w:rFonts w:ascii="Arial" w:eastAsiaTheme="minorEastAsia"/>
                <w:b/>
                <w:sz w:val="20"/>
              </w:rPr>
            </w:pPr>
          </w:p>
          <w:p w:rsidR="00F611CA" w:rsidRPr="00324C09" w:rsidRDefault="00F611CA" w:rsidP="00324C09">
            <w:pPr>
              <w:pStyle w:val="TableContents"/>
              <w:jc w:val="center"/>
              <w:rPr>
                <w:rFonts w:ascii="Arial" w:eastAsiaTheme="minorEastAsia"/>
                <w:b/>
                <w:sz w:val="20"/>
              </w:rPr>
            </w:pPr>
            <w:r>
              <w:rPr>
                <w:rFonts w:ascii="Arial" w:eastAsiaTheme="minorEastAsia"/>
                <w:b/>
                <w:sz w:val="20"/>
              </w:rPr>
              <w:t>Upon Passage</w:t>
            </w:r>
          </w:p>
        </w:tc>
      </w:tr>
      <w:tr w:rsidR="002C2779" w:rsidRPr="00357DBF" w:rsidTr="002C2779">
        <w:tc>
          <w:tcPr>
            <w:tcW w:w="1518" w:type="dxa"/>
            <w:tcBorders>
              <w:top w:val="nil"/>
              <w:left w:val="single" w:sz="2" w:space="0" w:color="000000"/>
              <w:bottom w:val="single" w:sz="2" w:space="0" w:color="000000"/>
              <w:right w:val="nil"/>
            </w:tcBorders>
            <w:shd w:val="clear" w:color="auto" w:fill="auto"/>
          </w:tcPr>
          <w:p w:rsidR="002C2779" w:rsidRDefault="002C2779" w:rsidP="00E7165A">
            <w:pPr>
              <w:pStyle w:val="TableContents"/>
              <w:jc w:val="center"/>
              <w:rPr>
                <w:rFonts w:ascii="Arial" w:eastAsiaTheme="minorEastAsia"/>
                <w:b/>
                <w:sz w:val="20"/>
              </w:rPr>
            </w:pPr>
          </w:p>
          <w:p w:rsidR="002C2779" w:rsidRDefault="002C2779" w:rsidP="00E7165A">
            <w:pPr>
              <w:pStyle w:val="TableContents"/>
              <w:jc w:val="center"/>
              <w:rPr>
                <w:rFonts w:ascii="Arial" w:eastAsiaTheme="minorEastAsia"/>
                <w:b/>
                <w:sz w:val="20"/>
              </w:rPr>
            </w:pPr>
            <w:r>
              <w:rPr>
                <w:rFonts w:ascii="Arial" w:eastAsiaTheme="minorEastAsia"/>
                <w:b/>
                <w:sz w:val="20"/>
              </w:rPr>
              <w:t>HEA 1083</w:t>
            </w:r>
          </w:p>
          <w:p w:rsidR="002C2779" w:rsidRDefault="002C2779" w:rsidP="00E7165A">
            <w:pPr>
              <w:pStyle w:val="TableContents"/>
              <w:jc w:val="center"/>
              <w:rPr>
                <w:rFonts w:ascii="Arial" w:eastAsiaTheme="minorEastAsia"/>
                <w:b/>
                <w:sz w:val="20"/>
              </w:rPr>
            </w:pPr>
          </w:p>
          <w:p w:rsidR="002C2779" w:rsidRDefault="002C2779" w:rsidP="00E7165A">
            <w:pPr>
              <w:pStyle w:val="TableContents"/>
              <w:jc w:val="center"/>
              <w:rPr>
                <w:rFonts w:ascii="Arial" w:eastAsiaTheme="minorEastAsia"/>
                <w:b/>
                <w:sz w:val="20"/>
              </w:rPr>
            </w:pPr>
            <w:r>
              <w:rPr>
                <w:rFonts w:ascii="Arial" w:eastAsiaTheme="minorEastAsia"/>
                <w:b/>
                <w:sz w:val="20"/>
              </w:rPr>
              <w:t>P.L.121-2014</w:t>
            </w:r>
          </w:p>
          <w:p w:rsidR="002C2779" w:rsidRPr="00357DBF" w:rsidRDefault="002C2779" w:rsidP="00E7165A">
            <w:pPr>
              <w:pStyle w:val="TableContents"/>
              <w:jc w:val="center"/>
              <w:rPr>
                <w:rFonts w:ascii="Arial" w:eastAsiaTheme="minorEastAsia"/>
                <w:b/>
                <w:sz w:val="20"/>
              </w:rPr>
            </w:pPr>
          </w:p>
        </w:tc>
        <w:tc>
          <w:tcPr>
            <w:tcW w:w="8010" w:type="dxa"/>
            <w:tcBorders>
              <w:top w:val="nil"/>
              <w:left w:val="single" w:sz="2" w:space="0" w:color="000000"/>
              <w:bottom w:val="single" w:sz="2" w:space="0" w:color="000000"/>
              <w:right w:val="nil"/>
            </w:tcBorders>
            <w:shd w:val="clear" w:color="auto" w:fill="auto"/>
          </w:tcPr>
          <w:p w:rsidR="00F611CA" w:rsidRDefault="00F611CA" w:rsidP="00E7165A">
            <w:pPr>
              <w:pStyle w:val="TableContents"/>
              <w:rPr>
                <w:rFonts w:ascii="Arial" w:eastAsiaTheme="minorEastAsia"/>
                <w:b/>
                <w:sz w:val="20"/>
              </w:rPr>
            </w:pPr>
          </w:p>
          <w:p w:rsidR="00EF61E2" w:rsidRPr="00CE2534" w:rsidRDefault="00EF61E2" w:rsidP="00EF61E2">
            <w:pPr>
              <w:pStyle w:val="TableContents"/>
              <w:rPr>
                <w:rFonts w:ascii="Arial" w:eastAsiaTheme="minorEastAsia" w:hAnsi="Arial" w:cs="Arial"/>
                <w:sz w:val="20"/>
                <w:szCs w:val="20"/>
              </w:rPr>
            </w:pPr>
            <w:r>
              <w:rPr>
                <w:rFonts w:ascii="Arial" w:eastAsiaTheme="minorEastAsia"/>
                <w:b/>
                <w:sz w:val="20"/>
              </w:rPr>
              <w:t>Child Labor &amp; Unemployment Laws</w:t>
            </w:r>
            <w:r w:rsidRPr="00357DBF">
              <w:rPr>
                <w:rFonts w:ascii="Arial" w:eastAsiaTheme="minorEastAsia"/>
                <w:b/>
                <w:sz w:val="20"/>
              </w:rPr>
              <w:t>.</w:t>
            </w:r>
            <w:r w:rsidRPr="00357DBF">
              <w:rPr>
                <w:rFonts w:ascii="Arial" w:eastAsiaTheme="minorEastAsia"/>
                <w:sz w:val="20"/>
              </w:rPr>
              <w:t xml:space="preserve"> Changes made to child labor laws.</w:t>
            </w:r>
            <w:r>
              <w:t xml:space="preserve"> </w:t>
            </w:r>
            <w:r w:rsidRPr="00953354">
              <w:rPr>
                <w:rFonts w:ascii="Arial" w:eastAsiaTheme="minorEastAsia"/>
                <w:sz w:val="20"/>
              </w:rPr>
              <w:t xml:space="preserve">Authorizes a </w:t>
            </w:r>
            <w:r w:rsidRPr="00953354">
              <w:rPr>
                <w:rFonts w:ascii="Arial" w:eastAsiaTheme="minorEastAsia"/>
                <w:sz w:val="20"/>
              </w:rPr>
              <w:lastRenderedPageBreak/>
              <w:t>child between the ages of 16 and 17 to work until 11 p.m.</w:t>
            </w:r>
            <w:r>
              <w:rPr>
                <w:rFonts w:ascii="Arial" w:eastAsiaTheme="minorEastAsia"/>
                <w:sz w:val="20"/>
              </w:rPr>
              <w:t xml:space="preserve"> </w:t>
            </w:r>
            <w:r w:rsidRPr="00953354">
              <w:rPr>
                <w:rFonts w:ascii="Arial" w:eastAsiaTheme="minorEastAsia"/>
                <w:sz w:val="20"/>
              </w:rPr>
              <w:t>on a night followed by a school day if the employer has obtained</w:t>
            </w:r>
            <w:r>
              <w:rPr>
                <w:rFonts w:ascii="Arial" w:eastAsiaTheme="minorEastAsia"/>
                <w:sz w:val="20"/>
              </w:rPr>
              <w:t xml:space="preserve"> </w:t>
            </w:r>
            <w:r w:rsidRPr="00953354">
              <w:rPr>
                <w:rFonts w:ascii="Arial" w:eastAsiaTheme="minorEastAsia"/>
                <w:sz w:val="20"/>
              </w:rPr>
              <w:t xml:space="preserve">written </w:t>
            </w:r>
            <w:r w:rsidRPr="00CE2534">
              <w:rPr>
                <w:rFonts w:ascii="Arial" w:eastAsiaTheme="minorEastAsia" w:hAnsi="Arial" w:cs="Arial"/>
                <w:sz w:val="20"/>
                <w:szCs w:val="20"/>
              </w:rPr>
              <w:t>permission from the child's parent and placed the written permission on file in the employer's office.</w:t>
            </w:r>
            <w:r w:rsidR="00AD148E">
              <w:rPr>
                <w:rFonts w:ascii="Arial" w:eastAsiaTheme="minorEastAsia" w:hAnsi="Arial" w:cs="Arial"/>
                <w:sz w:val="20"/>
                <w:szCs w:val="20"/>
              </w:rPr>
              <w:t xml:space="preserve"> </w:t>
            </w:r>
          </w:p>
          <w:p w:rsidR="00EF61E2" w:rsidRPr="00CE2534" w:rsidRDefault="00EF61E2" w:rsidP="00EF61E2">
            <w:pPr>
              <w:pStyle w:val="TableContents"/>
              <w:rPr>
                <w:rFonts w:ascii="Arial" w:eastAsiaTheme="minorEastAsia" w:hAnsi="Arial" w:cs="Arial"/>
                <w:sz w:val="20"/>
                <w:szCs w:val="20"/>
              </w:rPr>
            </w:pPr>
            <w:r w:rsidRPr="00CE2534">
              <w:rPr>
                <w:rFonts w:ascii="Arial" w:eastAsiaTheme="minorEastAsia" w:hAnsi="Arial" w:cs="Arial"/>
                <w:sz w:val="20"/>
                <w:szCs w:val="20"/>
              </w:rPr>
              <w:t xml:space="preserve">Adds language concerning the public policy involved in the application and payment of unemployment benefits (benefits). Removes any burden of proof from the determination of eligibility for benefits and the determination of gross misconduct. </w:t>
            </w:r>
          </w:p>
          <w:p w:rsidR="00EF61E2" w:rsidRPr="00CE2534" w:rsidRDefault="00EF61E2" w:rsidP="00EF61E2">
            <w:pPr>
              <w:pStyle w:val="TableContents"/>
              <w:rPr>
                <w:rFonts w:ascii="Arial" w:eastAsiaTheme="minorEastAsia" w:hAnsi="Arial" w:cs="Arial"/>
                <w:sz w:val="20"/>
                <w:szCs w:val="20"/>
              </w:rPr>
            </w:pPr>
          </w:p>
          <w:p w:rsidR="00EF61E2" w:rsidRDefault="00EF61E2" w:rsidP="00EF61E2">
            <w:pPr>
              <w:pStyle w:val="TableContents"/>
              <w:rPr>
                <w:rFonts w:ascii="Arial" w:eastAsiaTheme="minorEastAsia" w:hAnsi="Arial" w:cs="Arial"/>
                <w:sz w:val="20"/>
                <w:szCs w:val="20"/>
              </w:rPr>
            </w:pPr>
            <w:r w:rsidRPr="00CE2534">
              <w:rPr>
                <w:rFonts w:ascii="Arial" w:eastAsiaTheme="minorEastAsia" w:hAnsi="Arial" w:cs="Arial"/>
                <w:sz w:val="20"/>
                <w:szCs w:val="20"/>
              </w:rPr>
              <w:t>Removes language concerning a department of workforce development's rule or policy regarding an employer's filing of a notice in connection with an individual, group, or mass separation arising from a vacation period.</w:t>
            </w:r>
            <w:r w:rsidR="008163BF">
              <w:rPr>
                <w:rFonts w:ascii="Arial" w:eastAsiaTheme="minorEastAsia" w:hAnsi="Arial" w:cs="Arial"/>
                <w:sz w:val="20"/>
                <w:szCs w:val="20"/>
              </w:rPr>
              <w:t xml:space="preserve"> </w:t>
            </w:r>
            <w:r w:rsidRPr="00CE2534">
              <w:rPr>
                <w:rFonts w:ascii="Arial" w:eastAsiaTheme="minorEastAsia" w:hAnsi="Arial" w:cs="Arial"/>
                <w:sz w:val="20"/>
                <w:szCs w:val="20"/>
              </w:rPr>
              <w:t>Provides that holiday and vacation pay are deductible income for the week in which the holiday or vacation occurs.</w:t>
            </w:r>
          </w:p>
          <w:p w:rsidR="00EF61E2" w:rsidRDefault="00EF61E2" w:rsidP="00EF61E2">
            <w:pPr>
              <w:pStyle w:val="TableContents"/>
              <w:rPr>
                <w:rFonts w:ascii="Arial" w:eastAsiaTheme="minorEastAsia" w:hAnsi="Arial" w:cs="Arial"/>
                <w:sz w:val="20"/>
                <w:szCs w:val="20"/>
              </w:rPr>
            </w:pPr>
          </w:p>
          <w:p w:rsidR="00EF61E2" w:rsidRDefault="00EF61E2" w:rsidP="00EF61E2">
            <w:pPr>
              <w:pStyle w:val="TableContents"/>
              <w:rPr>
                <w:rFonts w:ascii="Arial" w:eastAsiaTheme="minorEastAsia" w:hAnsi="Arial" w:cs="Arial"/>
                <w:sz w:val="20"/>
                <w:szCs w:val="20"/>
              </w:rPr>
            </w:pPr>
            <w:r w:rsidRPr="00CE2534">
              <w:rPr>
                <w:rFonts w:ascii="Arial" w:eastAsiaTheme="minorEastAsia" w:hAnsi="Arial" w:cs="Arial"/>
                <w:sz w:val="20"/>
                <w:szCs w:val="20"/>
              </w:rPr>
              <w:t xml:space="preserve">Redefines "employer" for purposes of participation in the unemployment insurance system as an employing unit that: (1) has incurred liability for wages payable to one or more individuals; or (2) incurs liability for payment of wages of at least $1 in any calendar quarter during the current or immediately preceding calendar year. </w:t>
            </w:r>
          </w:p>
          <w:p w:rsidR="00EF61E2" w:rsidRDefault="00EF61E2" w:rsidP="00EF61E2">
            <w:pPr>
              <w:pStyle w:val="TableContents"/>
              <w:rPr>
                <w:rFonts w:ascii="Arial" w:eastAsiaTheme="minorEastAsia" w:hAnsi="Arial" w:cs="Arial"/>
                <w:sz w:val="20"/>
                <w:szCs w:val="20"/>
              </w:rPr>
            </w:pPr>
          </w:p>
          <w:p w:rsidR="00EF61E2" w:rsidRDefault="00EF61E2" w:rsidP="00EF61E2">
            <w:pPr>
              <w:pStyle w:val="TableContents"/>
              <w:rPr>
                <w:rFonts w:ascii="Arial" w:eastAsiaTheme="minorEastAsia" w:hAnsi="Arial" w:cs="Arial"/>
                <w:sz w:val="20"/>
                <w:szCs w:val="20"/>
              </w:rPr>
            </w:pPr>
            <w:r w:rsidRPr="00CE2534">
              <w:rPr>
                <w:rFonts w:ascii="Arial" w:eastAsiaTheme="minorEastAsia" w:hAnsi="Arial" w:cs="Arial"/>
                <w:sz w:val="20"/>
                <w:szCs w:val="20"/>
              </w:rPr>
              <w:t xml:space="preserve">Provides that a benefits overpayment includes any week for which the failure to disclose or falsification of a fact caused benefits to be paid improperly. </w:t>
            </w:r>
          </w:p>
          <w:p w:rsidR="00EF61E2" w:rsidRDefault="00EF61E2" w:rsidP="00EF61E2">
            <w:pPr>
              <w:pStyle w:val="TableContents"/>
              <w:rPr>
                <w:rFonts w:ascii="Arial" w:eastAsiaTheme="minorEastAsia" w:hAnsi="Arial" w:cs="Arial"/>
                <w:sz w:val="20"/>
                <w:szCs w:val="20"/>
              </w:rPr>
            </w:pPr>
          </w:p>
          <w:p w:rsidR="00EF61E2" w:rsidRDefault="00EF61E2" w:rsidP="00EF61E2">
            <w:pPr>
              <w:pStyle w:val="TableContents"/>
              <w:rPr>
                <w:rFonts w:ascii="Arial" w:eastAsiaTheme="minorEastAsia" w:hAnsi="Arial" w:cs="Arial"/>
                <w:sz w:val="20"/>
                <w:szCs w:val="20"/>
              </w:rPr>
            </w:pPr>
            <w:r w:rsidRPr="00CE2534">
              <w:rPr>
                <w:rFonts w:ascii="Arial" w:eastAsiaTheme="minorEastAsia" w:hAnsi="Arial" w:cs="Arial"/>
                <w:sz w:val="20"/>
                <w:szCs w:val="20"/>
              </w:rPr>
              <w:t>Provides that, when an individual's most recent separation from employment is a disqualifying separation, the individual must earn remuneration from employment for eight weeks and the remuneration must equal or exceed eight times the weekly benefit amount before the individual again qualifies for benefits.</w:t>
            </w:r>
          </w:p>
          <w:p w:rsidR="00EF61E2" w:rsidRDefault="00EF61E2" w:rsidP="00EF61E2">
            <w:pPr>
              <w:pStyle w:val="TableContents"/>
              <w:rPr>
                <w:rFonts w:ascii="Arial" w:eastAsiaTheme="minorEastAsia" w:hAnsi="Arial" w:cs="Arial"/>
                <w:sz w:val="20"/>
                <w:szCs w:val="20"/>
              </w:rPr>
            </w:pPr>
          </w:p>
          <w:p w:rsidR="00EF61E2" w:rsidRDefault="00EF61E2" w:rsidP="00EF61E2">
            <w:pPr>
              <w:pStyle w:val="TableContents"/>
              <w:rPr>
                <w:rFonts w:ascii="Arial" w:eastAsiaTheme="minorEastAsia" w:hAnsi="Arial" w:cs="Arial"/>
                <w:sz w:val="20"/>
                <w:szCs w:val="20"/>
              </w:rPr>
            </w:pPr>
            <w:r w:rsidRPr="00CE2534">
              <w:rPr>
                <w:rFonts w:ascii="Arial" w:eastAsiaTheme="minorEastAsia" w:hAnsi="Arial" w:cs="Arial"/>
                <w:sz w:val="20"/>
                <w:szCs w:val="20"/>
              </w:rPr>
              <w:t xml:space="preserve">Provides that payment of private unemployment benefits that is conditional upon the signing of a release of employment related claims against the employer is severance pay and is deductible income. </w:t>
            </w:r>
          </w:p>
          <w:p w:rsidR="00EF61E2" w:rsidRDefault="00EF61E2" w:rsidP="00EF61E2">
            <w:pPr>
              <w:pStyle w:val="TableContents"/>
              <w:rPr>
                <w:rFonts w:ascii="Arial" w:eastAsiaTheme="minorEastAsia" w:hAnsi="Arial" w:cs="Arial"/>
                <w:sz w:val="20"/>
                <w:szCs w:val="20"/>
              </w:rPr>
            </w:pPr>
          </w:p>
          <w:p w:rsidR="00EF61E2" w:rsidRDefault="00EF61E2" w:rsidP="00EF61E2">
            <w:pPr>
              <w:pStyle w:val="TableContents"/>
              <w:rPr>
                <w:rFonts w:ascii="Arial" w:eastAsiaTheme="minorEastAsia" w:hAnsi="Arial" w:cs="Arial"/>
                <w:sz w:val="20"/>
                <w:szCs w:val="20"/>
              </w:rPr>
            </w:pPr>
            <w:r w:rsidRPr="00CE2534">
              <w:rPr>
                <w:rFonts w:ascii="Arial" w:eastAsiaTheme="minorEastAsia" w:hAnsi="Arial" w:cs="Arial"/>
                <w:sz w:val="20"/>
                <w:szCs w:val="20"/>
              </w:rPr>
              <w:t xml:space="preserve">Increases from 15 to 30 days the time in which a party has to file an appeal of a review board's decision with the court of appeals. </w:t>
            </w:r>
          </w:p>
          <w:p w:rsidR="00067945" w:rsidRDefault="00067945" w:rsidP="00EF61E2">
            <w:pPr>
              <w:pStyle w:val="TableContents"/>
              <w:rPr>
                <w:rFonts w:ascii="Arial" w:eastAsiaTheme="minorEastAsia" w:hAnsi="Arial" w:cs="Arial"/>
                <w:sz w:val="20"/>
                <w:szCs w:val="20"/>
              </w:rPr>
            </w:pPr>
          </w:p>
          <w:p w:rsidR="00067945" w:rsidRDefault="00067945" w:rsidP="00EF61E2">
            <w:pPr>
              <w:pStyle w:val="TableContents"/>
              <w:rPr>
                <w:rFonts w:ascii="Arial" w:eastAsiaTheme="minorEastAsia" w:hAnsi="Arial" w:cs="Arial"/>
                <w:sz w:val="20"/>
                <w:szCs w:val="20"/>
              </w:rPr>
            </w:pPr>
            <w:r>
              <w:rPr>
                <w:rFonts w:ascii="Arial" w:eastAsiaTheme="minorEastAsia" w:hAnsi="Arial" w:cs="Arial"/>
                <w:sz w:val="20"/>
                <w:szCs w:val="20"/>
              </w:rPr>
              <w:t>Changes general educational development (GED) diploma to Indiana high school equivalency diploma.</w:t>
            </w:r>
          </w:p>
          <w:p w:rsidR="00EF61E2" w:rsidRDefault="00EF61E2" w:rsidP="00EF61E2">
            <w:pPr>
              <w:pStyle w:val="TableContents"/>
              <w:rPr>
                <w:rFonts w:ascii="Arial" w:eastAsiaTheme="minorEastAsia" w:hAnsi="Arial" w:cs="Arial"/>
                <w:sz w:val="20"/>
                <w:szCs w:val="20"/>
              </w:rPr>
            </w:pPr>
          </w:p>
          <w:p w:rsidR="00EF61E2" w:rsidRPr="00EF61E2" w:rsidRDefault="00EF61E2" w:rsidP="00EF61E2">
            <w:pPr>
              <w:pStyle w:val="TableContents"/>
              <w:rPr>
                <w:rFonts w:ascii="Arial" w:eastAsiaTheme="minorEastAsia" w:hAnsi="Arial" w:cs="Arial"/>
                <w:sz w:val="20"/>
                <w:szCs w:val="20"/>
              </w:rPr>
            </w:pPr>
            <w:r w:rsidRPr="00757063">
              <w:rPr>
                <w:rFonts w:ascii="Arial" w:eastAsiaTheme="minorEastAsia"/>
                <w:b/>
                <w:sz w:val="20"/>
              </w:rPr>
              <w:t>Link to Enrolled Act:</w:t>
            </w:r>
            <w:r>
              <w:rPr>
                <w:rFonts w:ascii="Arial" w:eastAsiaTheme="minorEastAsia"/>
                <w:sz w:val="20"/>
              </w:rPr>
              <w:t xml:space="preserve"> </w:t>
            </w:r>
            <w:hyperlink r:id="rId13" w:history="1">
              <w:r w:rsidRPr="00EF61E2">
                <w:rPr>
                  <w:rStyle w:val="Hyperlink"/>
                  <w:rFonts w:ascii="Arial" w:eastAsiaTheme="minorEastAsia" w:hAnsi="Arial" w:cs="Arial"/>
                  <w:sz w:val="20"/>
                  <w:szCs w:val="20"/>
                </w:rPr>
                <w:t>http://iga.in.gov/static-documents/f/4/7/1/f471e2a1/HB1083.04.ENRH.pdf</w:t>
              </w:r>
            </w:hyperlink>
          </w:p>
          <w:p w:rsidR="002C2779" w:rsidRPr="00357DBF" w:rsidRDefault="002C2779" w:rsidP="00F611CA">
            <w:pPr>
              <w:pStyle w:val="TableContents"/>
              <w:rPr>
                <w:rFonts w:ascii="Arial" w:eastAsiaTheme="minorEastAsia"/>
                <w:b/>
                <w:sz w:val="20"/>
              </w:rPr>
            </w:pPr>
          </w:p>
        </w:tc>
        <w:tc>
          <w:tcPr>
            <w:tcW w:w="2970" w:type="dxa"/>
            <w:tcBorders>
              <w:top w:val="nil"/>
              <w:left w:val="single" w:sz="2" w:space="0" w:color="000000"/>
              <w:bottom w:val="single" w:sz="2" w:space="0" w:color="000000"/>
              <w:right w:val="single" w:sz="2" w:space="0" w:color="000000"/>
            </w:tcBorders>
            <w:shd w:val="clear" w:color="auto" w:fill="auto"/>
          </w:tcPr>
          <w:p w:rsidR="002C2779" w:rsidRPr="00592947" w:rsidRDefault="002C2779" w:rsidP="00E7165A">
            <w:pPr>
              <w:pStyle w:val="TableContents"/>
              <w:rPr>
                <w:rFonts w:ascii="Arial" w:eastAsiaTheme="minorEastAsia"/>
                <w:sz w:val="20"/>
              </w:rPr>
            </w:pPr>
          </w:p>
          <w:p w:rsidR="00EF61E2" w:rsidRPr="00592947" w:rsidRDefault="00AD148E" w:rsidP="00AD148E">
            <w:pPr>
              <w:pStyle w:val="TableContents"/>
              <w:rPr>
                <w:rFonts w:ascii="Arial" w:eastAsiaTheme="minorEastAsia"/>
                <w:b/>
                <w:sz w:val="20"/>
              </w:rPr>
            </w:pPr>
            <w:r w:rsidRPr="00592947">
              <w:rPr>
                <w:rFonts w:ascii="Arial" w:eastAsiaTheme="minorEastAsia"/>
                <w:b/>
                <w:sz w:val="20"/>
              </w:rPr>
              <w:t xml:space="preserve">Applies to employers who are </w:t>
            </w:r>
            <w:r w:rsidRPr="00592947">
              <w:rPr>
                <w:rFonts w:ascii="Arial" w:eastAsiaTheme="minorEastAsia"/>
                <w:b/>
                <w:sz w:val="20"/>
              </w:rPr>
              <w:lastRenderedPageBreak/>
              <w:t>not employing their own children (such as in a family business)</w:t>
            </w:r>
          </w:p>
          <w:p w:rsidR="003E026A" w:rsidRDefault="003E026A" w:rsidP="00AD148E">
            <w:pPr>
              <w:pStyle w:val="TableContents"/>
              <w:rPr>
                <w:rFonts w:ascii="Arial" w:eastAsiaTheme="minorEastAsia"/>
                <w:b/>
                <w:sz w:val="20"/>
              </w:rPr>
            </w:pPr>
            <w:r w:rsidRPr="00592947">
              <w:rPr>
                <w:rFonts w:ascii="Arial" w:eastAsiaTheme="minorEastAsia"/>
                <w:b/>
                <w:sz w:val="20"/>
              </w:rPr>
              <w:t>Applies to employers</w:t>
            </w:r>
          </w:p>
          <w:p w:rsidR="00592947" w:rsidRDefault="00592947" w:rsidP="00AD148E">
            <w:pPr>
              <w:pStyle w:val="TableContents"/>
              <w:rPr>
                <w:rFonts w:ascii="Arial" w:eastAsiaTheme="minorEastAsia"/>
                <w:b/>
                <w:sz w:val="20"/>
              </w:rPr>
            </w:pPr>
          </w:p>
          <w:p w:rsidR="00592947" w:rsidRDefault="00592947" w:rsidP="00AD148E">
            <w:pPr>
              <w:pStyle w:val="TableContents"/>
              <w:rPr>
                <w:rFonts w:ascii="Arial" w:eastAsiaTheme="minorEastAsia"/>
                <w:b/>
                <w:sz w:val="20"/>
              </w:rPr>
            </w:pPr>
          </w:p>
          <w:p w:rsidR="00592947" w:rsidRDefault="00592947" w:rsidP="00AD148E">
            <w:pPr>
              <w:pStyle w:val="TableContents"/>
              <w:rPr>
                <w:rFonts w:ascii="Arial" w:eastAsiaTheme="minorEastAsia"/>
                <w:b/>
                <w:sz w:val="20"/>
              </w:rPr>
            </w:pPr>
          </w:p>
          <w:p w:rsidR="00592947" w:rsidRDefault="00592947" w:rsidP="00AD148E">
            <w:pPr>
              <w:pStyle w:val="TableContents"/>
              <w:rPr>
                <w:rFonts w:ascii="Arial" w:eastAsiaTheme="minorEastAsia"/>
                <w:b/>
                <w:sz w:val="20"/>
              </w:rPr>
            </w:pPr>
          </w:p>
          <w:p w:rsidR="00592947" w:rsidRDefault="00592947" w:rsidP="00AD148E">
            <w:pPr>
              <w:pStyle w:val="TableContents"/>
              <w:rPr>
                <w:rFonts w:ascii="Arial" w:eastAsiaTheme="minorEastAsia"/>
                <w:b/>
                <w:sz w:val="20"/>
              </w:rPr>
            </w:pPr>
          </w:p>
          <w:p w:rsidR="00592947" w:rsidRPr="00592947" w:rsidRDefault="00592947" w:rsidP="00AD148E">
            <w:pPr>
              <w:pStyle w:val="TableContents"/>
              <w:rPr>
                <w:rFonts w:ascii="Arial" w:eastAsiaTheme="minorEastAsia"/>
                <w:b/>
                <w:sz w:val="20"/>
              </w:rPr>
            </w:pPr>
          </w:p>
          <w:p w:rsidR="003E026A" w:rsidRPr="00592947" w:rsidRDefault="003E026A" w:rsidP="00AD148E">
            <w:pPr>
              <w:pStyle w:val="TableContents"/>
              <w:rPr>
                <w:rFonts w:ascii="Arial" w:eastAsiaTheme="minorEastAsia"/>
                <w:b/>
                <w:sz w:val="20"/>
              </w:rPr>
            </w:pPr>
          </w:p>
          <w:p w:rsidR="003E026A" w:rsidRPr="00592947" w:rsidRDefault="003E026A" w:rsidP="00AD148E">
            <w:pPr>
              <w:pStyle w:val="TableContents"/>
              <w:rPr>
                <w:rFonts w:ascii="Arial" w:eastAsiaTheme="minorEastAsia"/>
                <w:b/>
                <w:sz w:val="20"/>
              </w:rPr>
            </w:pPr>
          </w:p>
          <w:p w:rsidR="003E026A" w:rsidRPr="00592947" w:rsidRDefault="003E026A" w:rsidP="00AD148E">
            <w:pPr>
              <w:pStyle w:val="TableContents"/>
              <w:rPr>
                <w:rFonts w:ascii="Arial" w:eastAsiaTheme="minorEastAsia"/>
                <w:b/>
                <w:sz w:val="20"/>
              </w:rPr>
            </w:pPr>
          </w:p>
          <w:p w:rsidR="003E026A" w:rsidRDefault="003E026A" w:rsidP="00AD148E">
            <w:pPr>
              <w:pStyle w:val="TableContents"/>
              <w:rPr>
                <w:rFonts w:ascii="Arial" w:eastAsiaTheme="minorEastAsia"/>
                <w:b/>
                <w:sz w:val="20"/>
              </w:rPr>
            </w:pPr>
          </w:p>
          <w:p w:rsidR="00067945" w:rsidRDefault="00067945" w:rsidP="00AD148E">
            <w:pPr>
              <w:pStyle w:val="TableContents"/>
              <w:rPr>
                <w:rFonts w:ascii="Arial" w:eastAsiaTheme="minorEastAsia"/>
                <w:b/>
                <w:sz w:val="20"/>
              </w:rPr>
            </w:pPr>
          </w:p>
          <w:p w:rsidR="00067945" w:rsidRDefault="00067945" w:rsidP="00AD148E">
            <w:pPr>
              <w:pStyle w:val="TableContents"/>
              <w:rPr>
                <w:rFonts w:ascii="Arial" w:eastAsiaTheme="minorEastAsia"/>
                <w:b/>
                <w:sz w:val="20"/>
              </w:rPr>
            </w:pPr>
          </w:p>
          <w:p w:rsidR="00067945" w:rsidRDefault="00067945" w:rsidP="00AD148E">
            <w:pPr>
              <w:pStyle w:val="TableContents"/>
              <w:rPr>
                <w:rFonts w:ascii="Arial" w:eastAsiaTheme="minorEastAsia"/>
                <w:b/>
                <w:sz w:val="20"/>
              </w:rPr>
            </w:pPr>
          </w:p>
          <w:p w:rsidR="00067945" w:rsidRDefault="00067945" w:rsidP="00AD148E">
            <w:pPr>
              <w:pStyle w:val="TableContents"/>
              <w:rPr>
                <w:rFonts w:ascii="Arial" w:eastAsiaTheme="minorEastAsia"/>
                <w:b/>
                <w:sz w:val="20"/>
              </w:rPr>
            </w:pPr>
          </w:p>
          <w:p w:rsidR="00067945" w:rsidRDefault="00067945" w:rsidP="00AD148E">
            <w:pPr>
              <w:pStyle w:val="TableContents"/>
              <w:rPr>
                <w:rFonts w:ascii="Arial" w:eastAsiaTheme="minorEastAsia"/>
                <w:b/>
                <w:sz w:val="20"/>
              </w:rPr>
            </w:pPr>
          </w:p>
          <w:p w:rsidR="00067945" w:rsidRDefault="00067945" w:rsidP="00AD148E">
            <w:pPr>
              <w:pStyle w:val="TableContents"/>
              <w:rPr>
                <w:rFonts w:ascii="Arial" w:eastAsiaTheme="minorEastAsia"/>
                <w:b/>
                <w:sz w:val="20"/>
              </w:rPr>
            </w:pPr>
          </w:p>
          <w:p w:rsidR="00067945" w:rsidRDefault="00067945" w:rsidP="00AD148E">
            <w:pPr>
              <w:pStyle w:val="TableContents"/>
              <w:rPr>
                <w:rFonts w:ascii="Arial" w:eastAsiaTheme="minorEastAsia"/>
                <w:b/>
                <w:sz w:val="20"/>
              </w:rPr>
            </w:pPr>
          </w:p>
          <w:p w:rsidR="00067945" w:rsidRDefault="00067945" w:rsidP="00AD148E">
            <w:pPr>
              <w:pStyle w:val="TableContents"/>
              <w:rPr>
                <w:rFonts w:ascii="Arial" w:eastAsiaTheme="minorEastAsia"/>
                <w:b/>
                <w:sz w:val="20"/>
              </w:rPr>
            </w:pPr>
          </w:p>
          <w:p w:rsidR="00067945" w:rsidRDefault="00067945" w:rsidP="00AD148E">
            <w:pPr>
              <w:pStyle w:val="TableContents"/>
              <w:rPr>
                <w:rFonts w:ascii="Arial" w:eastAsiaTheme="minorEastAsia"/>
                <w:b/>
                <w:sz w:val="20"/>
              </w:rPr>
            </w:pPr>
          </w:p>
          <w:p w:rsidR="00067945" w:rsidRDefault="00067945" w:rsidP="00AD148E">
            <w:pPr>
              <w:pStyle w:val="TableContents"/>
              <w:rPr>
                <w:rFonts w:ascii="Arial" w:eastAsiaTheme="minorEastAsia"/>
                <w:b/>
                <w:sz w:val="20"/>
              </w:rPr>
            </w:pPr>
          </w:p>
          <w:p w:rsidR="00067945" w:rsidRDefault="00067945" w:rsidP="00AD148E">
            <w:pPr>
              <w:pStyle w:val="TableContents"/>
              <w:rPr>
                <w:rFonts w:ascii="Arial" w:eastAsiaTheme="minorEastAsia"/>
                <w:b/>
                <w:sz w:val="20"/>
              </w:rPr>
            </w:pPr>
          </w:p>
          <w:p w:rsidR="00067945" w:rsidRDefault="00067945" w:rsidP="00AD148E">
            <w:pPr>
              <w:pStyle w:val="TableContents"/>
              <w:rPr>
                <w:rFonts w:ascii="Arial" w:eastAsiaTheme="minorEastAsia"/>
                <w:b/>
                <w:sz w:val="20"/>
              </w:rPr>
            </w:pPr>
          </w:p>
          <w:p w:rsidR="00067945" w:rsidRDefault="00067945" w:rsidP="00AD148E">
            <w:pPr>
              <w:pStyle w:val="TableContents"/>
              <w:rPr>
                <w:rFonts w:ascii="Arial" w:eastAsiaTheme="minorEastAsia"/>
                <w:b/>
                <w:sz w:val="20"/>
              </w:rPr>
            </w:pPr>
          </w:p>
          <w:p w:rsidR="00067945" w:rsidRDefault="00067945" w:rsidP="00AD148E">
            <w:pPr>
              <w:pStyle w:val="TableContents"/>
              <w:rPr>
                <w:rFonts w:ascii="Arial" w:eastAsiaTheme="minorEastAsia"/>
                <w:b/>
                <w:sz w:val="20"/>
              </w:rPr>
            </w:pPr>
          </w:p>
          <w:p w:rsidR="00067945" w:rsidRDefault="00067945" w:rsidP="00AD148E">
            <w:pPr>
              <w:pStyle w:val="TableContents"/>
              <w:rPr>
                <w:rFonts w:ascii="Arial" w:eastAsiaTheme="minorEastAsia"/>
                <w:b/>
                <w:sz w:val="20"/>
              </w:rPr>
            </w:pPr>
          </w:p>
          <w:p w:rsidR="00067945" w:rsidRDefault="00067945" w:rsidP="00AD148E">
            <w:pPr>
              <w:pStyle w:val="TableContents"/>
              <w:rPr>
                <w:rFonts w:ascii="Arial" w:eastAsiaTheme="minorEastAsia"/>
                <w:b/>
                <w:sz w:val="20"/>
              </w:rPr>
            </w:pPr>
          </w:p>
          <w:p w:rsidR="00067945" w:rsidRDefault="00067945" w:rsidP="00AD148E">
            <w:pPr>
              <w:pStyle w:val="TableContents"/>
              <w:rPr>
                <w:rFonts w:ascii="Arial" w:eastAsiaTheme="minorEastAsia"/>
                <w:b/>
                <w:sz w:val="20"/>
              </w:rPr>
            </w:pPr>
          </w:p>
          <w:p w:rsidR="00067945" w:rsidRDefault="00067945" w:rsidP="00AD148E">
            <w:pPr>
              <w:pStyle w:val="TableContents"/>
              <w:rPr>
                <w:rFonts w:ascii="Arial" w:eastAsiaTheme="minorEastAsia"/>
                <w:b/>
                <w:sz w:val="20"/>
              </w:rPr>
            </w:pPr>
          </w:p>
          <w:p w:rsidR="00067945" w:rsidRPr="00592947" w:rsidRDefault="00067945" w:rsidP="00AD148E">
            <w:pPr>
              <w:pStyle w:val="TableContents"/>
              <w:rPr>
                <w:rFonts w:ascii="Arial" w:eastAsiaTheme="minorEastAsia"/>
                <w:b/>
                <w:sz w:val="20"/>
              </w:rPr>
            </w:pPr>
            <w:r>
              <w:rPr>
                <w:rFonts w:ascii="Arial" w:eastAsiaTheme="minorEastAsia"/>
                <w:b/>
                <w:sz w:val="20"/>
              </w:rPr>
              <w:t xml:space="preserve">  &lt;Just an FYI&gt;</w:t>
            </w:r>
          </w:p>
        </w:tc>
        <w:tc>
          <w:tcPr>
            <w:tcW w:w="1710" w:type="dxa"/>
            <w:tcBorders>
              <w:top w:val="nil"/>
              <w:left w:val="single" w:sz="2" w:space="0" w:color="000000"/>
              <w:bottom w:val="single" w:sz="2" w:space="0" w:color="000000"/>
              <w:right w:val="single" w:sz="2" w:space="0" w:color="000000"/>
            </w:tcBorders>
          </w:tcPr>
          <w:p w:rsidR="002C2779" w:rsidRDefault="002C2779" w:rsidP="00324C09">
            <w:pPr>
              <w:pStyle w:val="TableContents"/>
              <w:jc w:val="center"/>
              <w:rPr>
                <w:rFonts w:ascii="Arial" w:eastAsiaTheme="minorEastAsia"/>
                <w:b/>
                <w:sz w:val="20"/>
              </w:rPr>
            </w:pPr>
          </w:p>
          <w:p w:rsidR="00EF61E2" w:rsidRDefault="00AD148E" w:rsidP="00324C09">
            <w:pPr>
              <w:pStyle w:val="TableContents"/>
              <w:jc w:val="center"/>
              <w:rPr>
                <w:rFonts w:ascii="Arial" w:eastAsiaTheme="minorEastAsia"/>
                <w:b/>
                <w:sz w:val="20"/>
              </w:rPr>
            </w:pPr>
            <w:r>
              <w:rPr>
                <w:rFonts w:ascii="Arial" w:eastAsiaTheme="minorEastAsia"/>
                <w:b/>
                <w:sz w:val="20"/>
              </w:rPr>
              <w:t>Upon Passage</w:t>
            </w:r>
          </w:p>
          <w:p w:rsidR="003E026A" w:rsidRDefault="003E026A" w:rsidP="00324C09">
            <w:pPr>
              <w:pStyle w:val="TableContents"/>
              <w:jc w:val="center"/>
              <w:rPr>
                <w:rFonts w:ascii="Arial" w:eastAsiaTheme="minorEastAsia"/>
                <w:b/>
                <w:sz w:val="20"/>
              </w:rPr>
            </w:pPr>
          </w:p>
          <w:p w:rsidR="003E026A" w:rsidRDefault="003E026A" w:rsidP="00324C09">
            <w:pPr>
              <w:pStyle w:val="TableContents"/>
              <w:jc w:val="center"/>
              <w:rPr>
                <w:rFonts w:ascii="Arial" w:eastAsiaTheme="minorEastAsia"/>
                <w:b/>
                <w:sz w:val="20"/>
              </w:rPr>
            </w:pPr>
          </w:p>
          <w:p w:rsidR="003E026A" w:rsidRDefault="003E026A" w:rsidP="00324C09">
            <w:pPr>
              <w:pStyle w:val="TableContents"/>
              <w:jc w:val="center"/>
              <w:rPr>
                <w:rFonts w:ascii="Arial" w:eastAsiaTheme="minorEastAsia"/>
                <w:b/>
                <w:sz w:val="20"/>
              </w:rPr>
            </w:pPr>
          </w:p>
          <w:p w:rsidR="003E026A" w:rsidRDefault="003E026A" w:rsidP="003E026A">
            <w:pPr>
              <w:pStyle w:val="TableContents"/>
              <w:jc w:val="center"/>
              <w:rPr>
                <w:rFonts w:ascii="Arial" w:eastAsiaTheme="minorEastAsia"/>
                <w:b/>
                <w:sz w:val="20"/>
              </w:rPr>
            </w:pPr>
            <w:r>
              <w:rPr>
                <w:rFonts w:ascii="Arial" w:eastAsiaTheme="minorEastAsia"/>
                <w:b/>
                <w:sz w:val="20"/>
              </w:rPr>
              <w:t>July 1, 2014</w:t>
            </w:r>
          </w:p>
          <w:p w:rsidR="003E026A" w:rsidRDefault="003E026A" w:rsidP="003E026A">
            <w:pPr>
              <w:pStyle w:val="TableContents"/>
              <w:jc w:val="center"/>
              <w:rPr>
                <w:rFonts w:ascii="Arial" w:eastAsiaTheme="minorEastAsia"/>
                <w:b/>
                <w:sz w:val="20"/>
              </w:rPr>
            </w:pPr>
          </w:p>
          <w:p w:rsidR="003E026A" w:rsidRDefault="003E026A" w:rsidP="003E026A">
            <w:pPr>
              <w:pStyle w:val="TableContents"/>
              <w:jc w:val="center"/>
              <w:rPr>
                <w:rFonts w:ascii="Arial" w:eastAsiaTheme="minorEastAsia"/>
                <w:b/>
                <w:sz w:val="20"/>
              </w:rPr>
            </w:pPr>
          </w:p>
          <w:p w:rsidR="003E026A" w:rsidRDefault="003E026A" w:rsidP="003E026A">
            <w:pPr>
              <w:pStyle w:val="TableContents"/>
              <w:jc w:val="center"/>
              <w:rPr>
                <w:rFonts w:ascii="Arial" w:eastAsiaTheme="minorEastAsia"/>
                <w:b/>
                <w:sz w:val="20"/>
              </w:rPr>
            </w:pPr>
          </w:p>
          <w:p w:rsidR="003E026A" w:rsidRDefault="003E026A" w:rsidP="003E026A">
            <w:pPr>
              <w:pStyle w:val="TableContents"/>
              <w:jc w:val="center"/>
              <w:rPr>
                <w:rFonts w:ascii="Arial" w:eastAsiaTheme="minorEastAsia"/>
                <w:b/>
                <w:sz w:val="20"/>
              </w:rPr>
            </w:pPr>
          </w:p>
          <w:p w:rsidR="00067945" w:rsidRDefault="00067945" w:rsidP="003E026A">
            <w:pPr>
              <w:pStyle w:val="TableContents"/>
              <w:jc w:val="center"/>
              <w:rPr>
                <w:rFonts w:ascii="Arial" w:eastAsiaTheme="minorEastAsia"/>
                <w:b/>
                <w:sz w:val="20"/>
              </w:rPr>
            </w:pPr>
          </w:p>
          <w:p w:rsidR="00067945" w:rsidRDefault="00067945" w:rsidP="003E026A">
            <w:pPr>
              <w:pStyle w:val="TableContents"/>
              <w:jc w:val="center"/>
              <w:rPr>
                <w:rFonts w:ascii="Arial" w:eastAsiaTheme="minorEastAsia"/>
                <w:b/>
                <w:sz w:val="20"/>
              </w:rPr>
            </w:pPr>
          </w:p>
          <w:p w:rsidR="00067945" w:rsidRDefault="00067945" w:rsidP="003E026A">
            <w:pPr>
              <w:pStyle w:val="TableContents"/>
              <w:jc w:val="center"/>
              <w:rPr>
                <w:rFonts w:ascii="Arial" w:eastAsiaTheme="minorEastAsia"/>
                <w:b/>
                <w:sz w:val="20"/>
              </w:rPr>
            </w:pPr>
          </w:p>
          <w:p w:rsidR="00067945" w:rsidRDefault="00067945" w:rsidP="003E026A">
            <w:pPr>
              <w:pStyle w:val="TableContents"/>
              <w:jc w:val="center"/>
              <w:rPr>
                <w:rFonts w:ascii="Arial" w:eastAsiaTheme="minorEastAsia"/>
                <w:b/>
                <w:sz w:val="20"/>
              </w:rPr>
            </w:pPr>
          </w:p>
          <w:p w:rsidR="00067945" w:rsidRDefault="00067945" w:rsidP="003E026A">
            <w:pPr>
              <w:pStyle w:val="TableContents"/>
              <w:jc w:val="center"/>
              <w:rPr>
                <w:rFonts w:ascii="Arial" w:eastAsiaTheme="minorEastAsia"/>
                <w:b/>
                <w:sz w:val="20"/>
              </w:rPr>
            </w:pPr>
          </w:p>
          <w:p w:rsidR="00067945" w:rsidRDefault="00067945" w:rsidP="003E026A">
            <w:pPr>
              <w:pStyle w:val="TableContents"/>
              <w:jc w:val="center"/>
              <w:rPr>
                <w:rFonts w:ascii="Arial" w:eastAsiaTheme="minorEastAsia"/>
                <w:b/>
                <w:sz w:val="20"/>
              </w:rPr>
            </w:pPr>
          </w:p>
          <w:p w:rsidR="00067945" w:rsidRDefault="00067945" w:rsidP="003E026A">
            <w:pPr>
              <w:pStyle w:val="TableContents"/>
              <w:jc w:val="center"/>
              <w:rPr>
                <w:rFonts w:ascii="Arial" w:eastAsiaTheme="minorEastAsia"/>
                <w:b/>
                <w:sz w:val="20"/>
              </w:rPr>
            </w:pPr>
          </w:p>
          <w:p w:rsidR="00067945" w:rsidRDefault="00067945" w:rsidP="003E026A">
            <w:pPr>
              <w:pStyle w:val="TableContents"/>
              <w:jc w:val="center"/>
              <w:rPr>
                <w:rFonts w:ascii="Arial" w:eastAsiaTheme="minorEastAsia"/>
                <w:b/>
                <w:sz w:val="20"/>
              </w:rPr>
            </w:pPr>
          </w:p>
          <w:p w:rsidR="00067945" w:rsidRDefault="00067945" w:rsidP="003E026A">
            <w:pPr>
              <w:pStyle w:val="TableContents"/>
              <w:jc w:val="center"/>
              <w:rPr>
                <w:rFonts w:ascii="Arial" w:eastAsiaTheme="minorEastAsia"/>
                <w:b/>
                <w:sz w:val="20"/>
              </w:rPr>
            </w:pPr>
          </w:p>
          <w:p w:rsidR="00067945" w:rsidRDefault="00067945" w:rsidP="003E026A">
            <w:pPr>
              <w:pStyle w:val="TableContents"/>
              <w:jc w:val="center"/>
              <w:rPr>
                <w:rFonts w:ascii="Arial" w:eastAsiaTheme="minorEastAsia"/>
                <w:b/>
                <w:sz w:val="20"/>
              </w:rPr>
            </w:pPr>
          </w:p>
          <w:p w:rsidR="00067945" w:rsidRDefault="00067945" w:rsidP="003E026A">
            <w:pPr>
              <w:pStyle w:val="TableContents"/>
              <w:jc w:val="center"/>
              <w:rPr>
                <w:rFonts w:ascii="Arial" w:eastAsiaTheme="minorEastAsia"/>
                <w:b/>
                <w:sz w:val="20"/>
              </w:rPr>
            </w:pPr>
          </w:p>
          <w:p w:rsidR="00067945" w:rsidRDefault="00067945" w:rsidP="003E026A">
            <w:pPr>
              <w:pStyle w:val="TableContents"/>
              <w:jc w:val="center"/>
              <w:rPr>
                <w:rFonts w:ascii="Arial" w:eastAsiaTheme="minorEastAsia"/>
                <w:b/>
                <w:sz w:val="20"/>
              </w:rPr>
            </w:pPr>
          </w:p>
          <w:p w:rsidR="00067945" w:rsidRDefault="00067945" w:rsidP="003E026A">
            <w:pPr>
              <w:pStyle w:val="TableContents"/>
              <w:jc w:val="center"/>
              <w:rPr>
                <w:rFonts w:ascii="Arial" w:eastAsiaTheme="minorEastAsia"/>
                <w:b/>
                <w:sz w:val="20"/>
              </w:rPr>
            </w:pPr>
          </w:p>
          <w:p w:rsidR="00067945" w:rsidRDefault="00067945" w:rsidP="003E026A">
            <w:pPr>
              <w:pStyle w:val="TableContents"/>
              <w:jc w:val="center"/>
              <w:rPr>
                <w:rFonts w:ascii="Arial" w:eastAsiaTheme="minorEastAsia"/>
                <w:b/>
                <w:sz w:val="20"/>
              </w:rPr>
            </w:pPr>
          </w:p>
          <w:p w:rsidR="00067945" w:rsidRDefault="00067945" w:rsidP="003E026A">
            <w:pPr>
              <w:pStyle w:val="TableContents"/>
              <w:jc w:val="center"/>
              <w:rPr>
                <w:rFonts w:ascii="Arial" w:eastAsiaTheme="minorEastAsia"/>
                <w:b/>
                <w:sz w:val="20"/>
              </w:rPr>
            </w:pPr>
          </w:p>
          <w:p w:rsidR="00067945" w:rsidRDefault="00067945" w:rsidP="003E026A">
            <w:pPr>
              <w:pStyle w:val="TableContents"/>
              <w:jc w:val="center"/>
              <w:rPr>
                <w:rFonts w:ascii="Arial" w:eastAsiaTheme="minorEastAsia"/>
                <w:b/>
                <w:sz w:val="20"/>
              </w:rPr>
            </w:pPr>
          </w:p>
          <w:p w:rsidR="00067945" w:rsidRDefault="00067945" w:rsidP="003E026A">
            <w:pPr>
              <w:pStyle w:val="TableContents"/>
              <w:jc w:val="center"/>
              <w:rPr>
                <w:rFonts w:ascii="Arial" w:eastAsiaTheme="minorEastAsia"/>
                <w:b/>
                <w:sz w:val="20"/>
              </w:rPr>
            </w:pPr>
          </w:p>
          <w:p w:rsidR="00067945" w:rsidRDefault="00067945" w:rsidP="003E026A">
            <w:pPr>
              <w:pStyle w:val="TableContents"/>
              <w:jc w:val="center"/>
              <w:rPr>
                <w:rFonts w:ascii="Arial" w:eastAsiaTheme="minorEastAsia"/>
                <w:b/>
                <w:sz w:val="20"/>
              </w:rPr>
            </w:pPr>
          </w:p>
          <w:p w:rsidR="00067945" w:rsidRDefault="00067945" w:rsidP="003E026A">
            <w:pPr>
              <w:pStyle w:val="TableContents"/>
              <w:jc w:val="center"/>
              <w:rPr>
                <w:rFonts w:ascii="Arial" w:eastAsiaTheme="minorEastAsia"/>
                <w:b/>
                <w:sz w:val="20"/>
              </w:rPr>
            </w:pPr>
          </w:p>
          <w:p w:rsidR="00067945" w:rsidRDefault="00067945" w:rsidP="003E026A">
            <w:pPr>
              <w:pStyle w:val="TableContents"/>
              <w:jc w:val="center"/>
              <w:rPr>
                <w:rFonts w:ascii="Arial" w:eastAsiaTheme="minorEastAsia"/>
                <w:b/>
                <w:sz w:val="20"/>
              </w:rPr>
            </w:pPr>
          </w:p>
          <w:p w:rsidR="00067945" w:rsidRDefault="00067945" w:rsidP="003E026A">
            <w:pPr>
              <w:pStyle w:val="TableContents"/>
              <w:jc w:val="center"/>
              <w:rPr>
                <w:rFonts w:ascii="Arial" w:eastAsiaTheme="minorEastAsia"/>
                <w:b/>
                <w:sz w:val="20"/>
              </w:rPr>
            </w:pPr>
          </w:p>
          <w:p w:rsidR="00067945" w:rsidRDefault="00067945" w:rsidP="003E026A">
            <w:pPr>
              <w:pStyle w:val="TableContents"/>
              <w:jc w:val="center"/>
              <w:rPr>
                <w:rFonts w:ascii="Arial" w:eastAsiaTheme="minorEastAsia"/>
                <w:b/>
                <w:sz w:val="20"/>
              </w:rPr>
            </w:pPr>
          </w:p>
          <w:p w:rsidR="00067945" w:rsidRDefault="00067945" w:rsidP="003E026A">
            <w:pPr>
              <w:pStyle w:val="TableContents"/>
              <w:jc w:val="center"/>
              <w:rPr>
                <w:rFonts w:ascii="Arial" w:eastAsiaTheme="minorEastAsia"/>
                <w:b/>
                <w:sz w:val="20"/>
              </w:rPr>
            </w:pPr>
          </w:p>
          <w:p w:rsidR="00067945" w:rsidRDefault="00067945" w:rsidP="003E026A">
            <w:pPr>
              <w:pStyle w:val="TableContents"/>
              <w:jc w:val="center"/>
              <w:rPr>
                <w:rFonts w:ascii="Arial" w:eastAsiaTheme="minorEastAsia"/>
                <w:b/>
                <w:sz w:val="20"/>
              </w:rPr>
            </w:pPr>
          </w:p>
          <w:p w:rsidR="00067945" w:rsidRPr="00324C09" w:rsidRDefault="00067945" w:rsidP="003E026A">
            <w:pPr>
              <w:pStyle w:val="TableContents"/>
              <w:jc w:val="center"/>
              <w:rPr>
                <w:rFonts w:ascii="Arial" w:eastAsiaTheme="minorEastAsia"/>
                <w:b/>
                <w:sz w:val="20"/>
              </w:rPr>
            </w:pPr>
            <w:r>
              <w:rPr>
                <w:rFonts w:ascii="Arial" w:eastAsiaTheme="minorEastAsia"/>
                <w:b/>
                <w:sz w:val="20"/>
              </w:rPr>
              <w:t>July 1, 2014</w:t>
            </w:r>
          </w:p>
        </w:tc>
      </w:tr>
      <w:tr w:rsidR="002C2779" w:rsidRPr="00357DBF" w:rsidTr="002C2779">
        <w:tc>
          <w:tcPr>
            <w:tcW w:w="1518" w:type="dxa"/>
            <w:tcBorders>
              <w:top w:val="nil"/>
              <w:left w:val="single" w:sz="2" w:space="0" w:color="000000"/>
              <w:bottom w:val="single" w:sz="2" w:space="0" w:color="000000"/>
              <w:right w:val="nil"/>
            </w:tcBorders>
            <w:shd w:val="clear" w:color="auto" w:fill="auto"/>
          </w:tcPr>
          <w:p w:rsidR="002C2779" w:rsidRDefault="002C2779" w:rsidP="00E7165A">
            <w:pPr>
              <w:pStyle w:val="TableContents"/>
              <w:jc w:val="center"/>
              <w:rPr>
                <w:rFonts w:ascii="Arial" w:eastAsiaTheme="minorEastAsia"/>
                <w:b/>
                <w:sz w:val="20"/>
              </w:rPr>
            </w:pPr>
          </w:p>
          <w:p w:rsidR="00315B6D" w:rsidRDefault="00315B6D" w:rsidP="00E7165A">
            <w:pPr>
              <w:pStyle w:val="TableContents"/>
              <w:jc w:val="center"/>
              <w:rPr>
                <w:rFonts w:ascii="Arial" w:eastAsiaTheme="minorEastAsia"/>
                <w:b/>
                <w:sz w:val="20"/>
              </w:rPr>
            </w:pPr>
            <w:r>
              <w:rPr>
                <w:rFonts w:ascii="Arial" w:eastAsiaTheme="minorEastAsia"/>
                <w:b/>
                <w:sz w:val="20"/>
              </w:rPr>
              <w:t>HEA 1266</w:t>
            </w:r>
          </w:p>
          <w:p w:rsidR="00315B6D" w:rsidRDefault="00315B6D" w:rsidP="00E7165A">
            <w:pPr>
              <w:pStyle w:val="TableContents"/>
              <w:jc w:val="center"/>
              <w:rPr>
                <w:rFonts w:ascii="Arial" w:eastAsiaTheme="minorEastAsia"/>
                <w:b/>
                <w:sz w:val="20"/>
              </w:rPr>
            </w:pPr>
          </w:p>
          <w:p w:rsidR="00315B6D" w:rsidRDefault="00315B6D" w:rsidP="00315B6D">
            <w:pPr>
              <w:pStyle w:val="TableContents"/>
              <w:jc w:val="center"/>
              <w:rPr>
                <w:rFonts w:ascii="Arial" w:eastAsiaTheme="minorEastAsia"/>
                <w:b/>
                <w:sz w:val="20"/>
              </w:rPr>
            </w:pPr>
            <w:r>
              <w:rPr>
                <w:rFonts w:ascii="Arial" w:eastAsiaTheme="minorEastAsia"/>
                <w:b/>
                <w:sz w:val="20"/>
              </w:rPr>
              <w:t>P.L.183-2014</w:t>
            </w:r>
          </w:p>
          <w:p w:rsidR="00315B6D" w:rsidRPr="00357DBF" w:rsidRDefault="00315B6D" w:rsidP="00315B6D">
            <w:pPr>
              <w:pStyle w:val="TableContents"/>
              <w:jc w:val="center"/>
              <w:rPr>
                <w:rFonts w:ascii="Arial" w:eastAsiaTheme="minorEastAsia"/>
                <w:b/>
                <w:sz w:val="20"/>
              </w:rPr>
            </w:pPr>
          </w:p>
        </w:tc>
        <w:tc>
          <w:tcPr>
            <w:tcW w:w="8010" w:type="dxa"/>
            <w:tcBorders>
              <w:top w:val="nil"/>
              <w:left w:val="single" w:sz="2" w:space="0" w:color="000000"/>
              <w:bottom w:val="single" w:sz="2" w:space="0" w:color="000000"/>
              <w:right w:val="nil"/>
            </w:tcBorders>
            <w:shd w:val="clear" w:color="auto" w:fill="auto"/>
          </w:tcPr>
          <w:p w:rsidR="002C2779" w:rsidRDefault="002C2779" w:rsidP="00E7165A">
            <w:pPr>
              <w:pStyle w:val="TableContents"/>
              <w:rPr>
                <w:rFonts w:ascii="Arial" w:eastAsiaTheme="minorEastAsia"/>
                <w:b/>
                <w:sz w:val="20"/>
              </w:rPr>
            </w:pPr>
          </w:p>
          <w:p w:rsidR="00BD5512" w:rsidRDefault="00BD5512" w:rsidP="00BD5512">
            <w:pPr>
              <w:pStyle w:val="TableContents"/>
              <w:rPr>
                <w:rFonts w:ascii="Arial" w:eastAsiaTheme="minorEastAsia"/>
                <w:sz w:val="20"/>
              </w:rPr>
            </w:pPr>
            <w:r w:rsidRPr="00357DBF">
              <w:rPr>
                <w:rFonts w:ascii="Arial" w:eastAsiaTheme="minorEastAsia"/>
                <w:b/>
                <w:sz w:val="20"/>
              </w:rPr>
              <w:t xml:space="preserve">Local Government Finance. </w:t>
            </w:r>
            <w:r>
              <w:rPr>
                <w:rFonts w:ascii="Arial" w:eastAsiaTheme="minorEastAsia"/>
                <w:sz w:val="20"/>
              </w:rPr>
              <w:t>Requires</w:t>
            </w:r>
            <w:r w:rsidRPr="00AE4514">
              <w:rPr>
                <w:rFonts w:ascii="Arial" w:eastAsiaTheme="minorEastAsia"/>
                <w:sz w:val="20"/>
              </w:rPr>
              <w:t xml:space="preserve"> political subdivision</w:t>
            </w:r>
            <w:r>
              <w:rPr>
                <w:rFonts w:ascii="Arial" w:eastAsiaTheme="minorEastAsia"/>
                <w:sz w:val="20"/>
              </w:rPr>
              <w:t>s</w:t>
            </w:r>
            <w:r w:rsidRPr="00AE4514">
              <w:rPr>
                <w:rFonts w:ascii="Arial" w:eastAsiaTheme="minorEastAsia"/>
                <w:sz w:val="20"/>
              </w:rPr>
              <w:t xml:space="preserve"> to submit to the DLGF information concerning the adoption of budgets and tax levies using the DLGF's computer gateway. Provides that publication requirements in current law continue</w:t>
            </w:r>
            <w:r w:rsidR="00EB51BF">
              <w:rPr>
                <w:rFonts w:ascii="Arial" w:eastAsiaTheme="minorEastAsia"/>
                <w:sz w:val="20"/>
              </w:rPr>
              <w:t xml:space="preserve"> only</w:t>
            </w:r>
            <w:r w:rsidRPr="00AE4514">
              <w:rPr>
                <w:rFonts w:ascii="Arial" w:eastAsiaTheme="minorEastAsia"/>
                <w:sz w:val="20"/>
              </w:rPr>
              <w:t xml:space="preserve"> </w:t>
            </w:r>
            <w:r w:rsidR="00EB51BF">
              <w:rPr>
                <w:rFonts w:ascii="Arial" w:eastAsiaTheme="minorEastAsia"/>
                <w:sz w:val="20"/>
              </w:rPr>
              <w:t>through</w:t>
            </w:r>
            <w:r w:rsidRPr="00AE4514">
              <w:rPr>
                <w:rFonts w:ascii="Arial" w:eastAsiaTheme="minorEastAsia"/>
                <w:sz w:val="20"/>
              </w:rPr>
              <w:t xml:space="preserve"> 2014 for 2015 budgets (along with the new requirements added in the bill concerning submission of budget and levy information to the DLGF's computer gateway). Requires the DLGF to make </w:t>
            </w:r>
            <w:r w:rsidR="00EB51BF">
              <w:rPr>
                <w:rFonts w:ascii="Arial" w:eastAsiaTheme="minorEastAsia"/>
                <w:sz w:val="20"/>
              </w:rPr>
              <w:t>political subdivision budget</w:t>
            </w:r>
            <w:r w:rsidRPr="00AE4514">
              <w:rPr>
                <w:rFonts w:ascii="Arial" w:eastAsiaTheme="minorEastAsia"/>
                <w:sz w:val="20"/>
              </w:rPr>
              <w:t xml:space="preserve"> information available to taxpayers through its computer gateway and provide a telephone number through which taxpayers may request copies of a political subdivision's information. </w:t>
            </w:r>
          </w:p>
          <w:p w:rsidR="00BD5512" w:rsidRDefault="00BD5512" w:rsidP="00BD5512">
            <w:pPr>
              <w:pStyle w:val="TableContents"/>
              <w:rPr>
                <w:rFonts w:ascii="Arial" w:eastAsiaTheme="minorEastAsia"/>
                <w:sz w:val="20"/>
              </w:rPr>
            </w:pPr>
          </w:p>
          <w:p w:rsidR="00BD5512" w:rsidRDefault="00BD5512" w:rsidP="00BD5512">
            <w:pPr>
              <w:pStyle w:val="TableContents"/>
              <w:rPr>
                <w:rFonts w:ascii="Arial" w:eastAsiaTheme="minorEastAsia"/>
                <w:sz w:val="20"/>
              </w:rPr>
            </w:pPr>
            <w:r w:rsidRPr="00AE4514">
              <w:rPr>
                <w:rFonts w:ascii="Arial" w:eastAsiaTheme="minorEastAsia"/>
                <w:sz w:val="20"/>
              </w:rPr>
              <w:t xml:space="preserve">Specifies that for taxes due and payable in 2015 and 2016, each county shall publish a notice stating the Internet address at which the budget information is available and the telephone number through which taxpayers may request copies of a political subdivision's budget information. Allows counties to seek reimbursement from the political subdivisions in the county for the cost of the notice. </w:t>
            </w:r>
          </w:p>
          <w:p w:rsidR="00BD5512" w:rsidRDefault="00BD5512" w:rsidP="00BD5512">
            <w:pPr>
              <w:pStyle w:val="TableContents"/>
              <w:rPr>
                <w:rFonts w:ascii="Arial" w:eastAsiaTheme="minorEastAsia"/>
                <w:sz w:val="20"/>
              </w:rPr>
            </w:pPr>
          </w:p>
          <w:p w:rsidR="00BD5512" w:rsidRDefault="00BD5512" w:rsidP="00BD5512">
            <w:pPr>
              <w:pStyle w:val="TableContents"/>
              <w:rPr>
                <w:rFonts w:ascii="Arial" w:eastAsiaTheme="minorEastAsia"/>
                <w:sz w:val="20"/>
              </w:rPr>
            </w:pPr>
            <w:r w:rsidRPr="00AE4514">
              <w:rPr>
                <w:rFonts w:ascii="Arial" w:eastAsiaTheme="minorEastAsia"/>
                <w:sz w:val="20"/>
              </w:rPr>
              <w:t xml:space="preserve">Provides that if a political subdivision timely submits the budget information to the DLGF's computer gateway but subsequently discovers the information contains a typographical error, the political subdivision may request permission from the DLGF to submit amended information. </w:t>
            </w:r>
          </w:p>
          <w:p w:rsidR="00BD5512" w:rsidRDefault="00BD5512" w:rsidP="00BD5512">
            <w:pPr>
              <w:pStyle w:val="TableContents"/>
              <w:rPr>
                <w:rFonts w:ascii="Arial" w:eastAsiaTheme="minorEastAsia"/>
                <w:sz w:val="20"/>
              </w:rPr>
            </w:pPr>
          </w:p>
          <w:p w:rsidR="00BD5512" w:rsidRDefault="00BD5512" w:rsidP="00BD5512">
            <w:pPr>
              <w:pStyle w:val="TableContents"/>
              <w:rPr>
                <w:rFonts w:ascii="Arial" w:eastAsiaTheme="minorEastAsia"/>
                <w:sz w:val="20"/>
              </w:rPr>
            </w:pPr>
            <w:r w:rsidRPr="00AE4514">
              <w:rPr>
                <w:rFonts w:ascii="Arial" w:eastAsiaTheme="minorEastAsia"/>
                <w:sz w:val="20"/>
              </w:rPr>
              <w:t xml:space="preserve">Specifies the conditions under which the DLGF shall increase a political subdivision's tax levy to an amount that exceeds the amount originally advertised or adopted by the political subdivision. Provides that if the DLGF increases a tax levy under this provision, the DLGF shall (unless the department finds extenuating circumstances) reduce the levy below the maximum allowable levy by the lesser of: 5% of the difference between the advertised or adopted levy and the increased levy; or $100,000. </w:t>
            </w:r>
          </w:p>
          <w:p w:rsidR="00BD5512" w:rsidRDefault="00BD5512" w:rsidP="00BD5512">
            <w:pPr>
              <w:pStyle w:val="TableContents"/>
              <w:rPr>
                <w:rFonts w:ascii="Arial" w:eastAsiaTheme="minorEastAsia"/>
                <w:sz w:val="20"/>
              </w:rPr>
            </w:pPr>
          </w:p>
          <w:p w:rsidR="00BD5512" w:rsidRDefault="006A2696" w:rsidP="00BD5512">
            <w:pPr>
              <w:pStyle w:val="TableContents"/>
              <w:rPr>
                <w:rFonts w:ascii="Arial" w:eastAsiaTheme="minorEastAsia"/>
                <w:sz w:val="20"/>
              </w:rPr>
            </w:pPr>
            <w:r w:rsidRPr="006A2696">
              <w:rPr>
                <w:rFonts w:ascii="Arial" w:eastAsiaTheme="minorEastAsia"/>
                <w:sz w:val="20"/>
              </w:rPr>
              <w:t xml:space="preserve">Deletes current law requiring certain specified reporting of other post employment </w:t>
            </w:r>
            <w:r w:rsidRPr="006A2696">
              <w:rPr>
                <w:rFonts w:ascii="Arial" w:eastAsiaTheme="minorEastAsia"/>
                <w:sz w:val="20"/>
              </w:rPr>
              <w:lastRenderedPageBreak/>
              <w:t>benefits (OPEB) information, and adds a provision requiring a political subdivision to annually report information and data on its retiree benefits and expenditures.</w:t>
            </w:r>
          </w:p>
          <w:p w:rsidR="006A2696" w:rsidRDefault="006A2696" w:rsidP="00BD5512">
            <w:pPr>
              <w:pStyle w:val="TableContents"/>
              <w:rPr>
                <w:rFonts w:ascii="Arial" w:eastAsiaTheme="minorEastAsia"/>
                <w:sz w:val="20"/>
              </w:rPr>
            </w:pPr>
          </w:p>
          <w:p w:rsidR="006A2696" w:rsidRDefault="006A2696" w:rsidP="00BD5512">
            <w:pPr>
              <w:pStyle w:val="TableContents"/>
              <w:rPr>
                <w:rFonts w:ascii="Arial" w:eastAsiaTheme="minorEastAsia"/>
                <w:sz w:val="20"/>
              </w:rPr>
            </w:pPr>
            <w:r w:rsidRPr="00757063">
              <w:rPr>
                <w:rFonts w:ascii="Arial" w:eastAsiaTheme="minorEastAsia"/>
                <w:b/>
                <w:sz w:val="20"/>
              </w:rPr>
              <w:t>Link to Enrolled Act:</w:t>
            </w:r>
            <w:r>
              <w:rPr>
                <w:rFonts w:ascii="Arial" w:eastAsiaTheme="minorEastAsia"/>
                <w:b/>
                <w:sz w:val="20"/>
              </w:rPr>
              <w:t xml:space="preserve"> </w:t>
            </w:r>
            <w:hyperlink r:id="rId14" w:history="1">
              <w:r w:rsidRPr="00CC1D17">
                <w:rPr>
                  <w:rStyle w:val="Hyperlink"/>
                  <w:rFonts w:ascii="Arial" w:eastAsiaTheme="minorEastAsia"/>
                  <w:sz w:val="20"/>
                </w:rPr>
                <w:t>http://iga.in.gov/static-documents/f/0/5/4/f05414b3/HB1266.06.ENRH.pdf</w:t>
              </w:r>
            </w:hyperlink>
          </w:p>
          <w:p w:rsidR="006A2696" w:rsidRDefault="006A2696" w:rsidP="00BD5512">
            <w:pPr>
              <w:pStyle w:val="TableContents"/>
              <w:rPr>
                <w:rFonts w:ascii="Arial" w:eastAsiaTheme="minorEastAsia"/>
                <w:b/>
                <w:sz w:val="20"/>
              </w:rPr>
            </w:pPr>
          </w:p>
          <w:p w:rsidR="00FF6EC7" w:rsidRPr="00FF6EC7" w:rsidRDefault="00FF6EC7" w:rsidP="00FF6EC7">
            <w:pPr>
              <w:pStyle w:val="TableContents"/>
              <w:rPr>
                <w:rFonts w:ascii="Arial" w:eastAsiaTheme="minorEastAsia"/>
                <w:i/>
                <w:color w:val="FF0000"/>
                <w:sz w:val="20"/>
              </w:rPr>
            </w:pPr>
            <w:r w:rsidRPr="00FF6EC7">
              <w:rPr>
                <w:rFonts w:ascii="Arial" w:eastAsiaTheme="minorEastAsia"/>
                <w:i/>
                <w:color w:val="FF0000"/>
                <w:sz w:val="20"/>
              </w:rPr>
              <w:t>&lt;Please attend ISL</w:t>
            </w:r>
            <w:r w:rsidRPr="00FF6EC7">
              <w:rPr>
                <w:rFonts w:ascii="Arial" w:eastAsiaTheme="minorEastAsia"/>
                <w:i/>
                <w:color w:val="FF0000"/>
                <w:sz w:val="20"/>
              </w:rPr>
              <w:t>’</w:t>
            </w:r>
            <w:r w:rsidRPr="00FF6EC7">
              <w:rPr>
                <w:rFonts w:ascii="Arial" w:eastAsiaTheme="minorEastAsia"/>
                <w:i/>
                <w:color w:val="FF0000"/>
                <w:sz w:val="20"/>
              </w:rPr>
              <w:t>s annual Budget Workshop in June to get information on additional changes imposed by HEA 1266; or you can review the archived budget workshop webinar if you are not available on the day of the workshop.&gt;</w:t>
            </w:r>
          </w:p>
          <w:p w:rsidR="00FF6EC7" w:rsidRDefault="00FF6EC7" w:rsidP="00BD5512">
            <w:pPr>
              <w:pStyle w:val="TableContents"/>
              <w:rPr>
                <w:rFonts w:ascii="Arial" w:eastAsiaTheme="minorEastAsia"/>
                <w:b/>
                <w:sz w:val="20"/>
              </w:rPr>
            </w:pPr>
          </w:p>
          <w:p w:rsidR="00FF6EC7" w:rsidRPr="00357DBF" w:rsidRDefault="00FF6EC7" w:rsidP="00BD5512">
            <w:pPr>
              <w:pStyle w:val="TableContents"/>
              <w:rPr>
                <w:rFonts w:ascii="Arial" w:eastAsiaTheme="minorEastAsia"/>
                <w:b/>
                <w:sz w:val="20"/>
              </w:rPr>
            </w:pPr>
          </w:p>
        </w:tc>
        <w:tc>
          <w:tcPr>
            <w:tcW w:w="2970" w:type="dxa"/>
            <w:tcBorders>
              <w:top w:val="nil"/>
              <w:left w:val="single" w:sz="2" w:space="0" w:color="000000"/>
              <w:bottom w:val="single" w:sz="2" w:space="0" w:color="000000"/>
              <w:right w:val="single" w:sz="2" w:space="0" w:color="000000"/>
            </w:tcBorders>
            <w:shd w:val="clear" w:color="auto" w:fill="auto"/>
          </w:tcPr>
          <w:p w:rsidR="002C2779" w:rsidRDefault="002C2779" w:rsidP="00E7165A">
            <w:pPr>
              <w:pStyle w:val="TableContents"/>
              <w:rPr>
                <w:rFonts w:ascii="Arial" w:eastAsiaTheme="minorEastAsia"/>
                <w:sz w:val="20"/>
              </w:rPr>
            </w:pPr>
          </w:p>
          <w:p w:rsidR="00ED0E07" w:rsidRPr="00ED0E07" w:rsidRDefault="00ED0E07" w:rsidP="00E7165A">
            <w:pPr>
              <w:pStyle w:val="TableContents"/>
              <w:rPr>
                <w:rFonts w:ascii="Arial" w:eastAsiaTheme="minorEastAsia"/>
                <w:b/>
                <w:sz w:val="20"/>
              </w:rPr>
            </w:pPr>
            <w:r>
              <w:rPr>
                <w:rFonts w:ascii="Arial" w:eastAsiaTheme="minorEastAsia"/>
                <w:b/>
                <w:sz w:val="20"/>
              </w:rPr>
              <w:t>Affect</w:t>
            </w:r>
            <w:r w:rsidRPr="00ED0E07">
              <w:rPr>
                <w:rFonts w:ascii="Arial" w:eastAsiaTheme="minorEastAsia"/>
                <w:b/>
                <w:sz w:val="20"/>
              </w:rPr>
              <w:t>s Public Libraries</w:t>
            </w:r>
          </w:p>
        </w:tc>
        <w:tc>
          <w:tcPr>
            <w:tcW w:w="1710" w:type="dxa"/>
            <w:tcBorders>
              <w:top w:val="nil"/>
              <w:left w:val="single" w:sz="2" w:space="0" w:color="000000"/>
              <w:bottom w:val="single" w:sz="2" w:space="0" w:color="000000"/>
              <w:right w:val="single" w:sz="2" w:space="0" w:color="000000"/>
            </w:tcBorders>
          </w:tcPr>
          <w:p w:rsidR="002C2779" w:rsidRDefault="002C2779" w:rsidP="00324C09">
            <w:pPr>
              <w:pStyle w:val="TableContents"/>
              <w:jc w:val="center"/>
              <w:rPr>
                <w:rFonts w:ascii="Arial" w:eastAsiaTheme="minorEastAsia"/>
                <w:b/>
                <w:sz w:val="20"/>
              </w:rPr>
            </w:pPr>
          </w:p>
          <w:p w:rsidR="00ED0E07" w:rsidRPr="00324C09" w:rsidRDefault="00ED0E07" w:rsidP="00324C09">
            <w:pPr>
              <w:pStyle w:val="TableContents"/>
              <w:jc w:val="center"/>
              <w:rPr>
                <w:rFonts w:ascii="Arial" w:eastAsiaTheme="minorEastAsia"/>
                <w:b/>
                <w:sz w:val="20"/>
              </w:rPr>
            </w:pPr>
            <w:r>
              <w:rPr>
                <w:rFonts w:ascii="Arial" w:eastAsiaTheme="minorEastAsia"/>
                <w:b/>
                <w:sz w:val="20"/>
              </w:rPr>
              <w:t>July 1, 2014</w:t>
            </w:r>
          </w:p>
        </w:tc>
      </w:tr>
      <w:tr w:rsidR="002C2779" w:rsidRPr="00357DBF" w:rsidTr="002C2779">
        <w:tc>
          <w:tcPr>
            <w:tcW w:w="1518" w:type="dxa"/>
            <w:tcBorders>
              <w:top w:val="nil"/>
              <w:left w:val="single" w:sz="2" w:space="0" w:color="000000"/>
              <w:bottom w:val="single" w:sz="2" w:space="0" w:color="000000"/>
              <w:right w:val="nil"/>
            </w:tcBorders>
            <w:shd w:val="clear" w:color="auto" w:fill="auto"/>
          </w:tcPr>
          <w:p w:rsidR="002C2779" w:rsidRDefault="002C2779" w:rsidP="00E7165A">
            <w:pPr>
              <w:pStyle w:val="TableContents"/>
              <w:jc w:val="center"/>
              <w:rPr>
                <w:rFonts w:ascii="Arial" w:eastAsiaTheme="minorEastAsia"/>
                <w:b/>
                <w:sz w:val="20"/>
              </w:rPr>
            </w:pPr>
          </w:p>
          <w:p w:rsidR="00315B6D" w:rsidRDefault="00315B6D" w:rsidP="00E7165A">
            <w:pPr>
              <w:pStyle w:val="TableContents"/>
              <w:jc w:val="center"/>
              <w:rPr>
                <w:rFonts w:ascii="Arial" w:eastAsiaTheme="minorEastAsia"/>
                <w:b/>
                <w:sz w:val="20"/>
              </w:rPr>
            </w:pPr>
            <w:r>
              <w:rPr>
                <w:rFonts w:ascii="Arial" w:eastAsiaTheme="minorEastAsia"/>
                <w:b/>
                <w:sz w:val="20"/>
              </w:rPr>
              <w:t>SEA 1</w:t>
            </w:r>
          </w:p>
          <w:p w:rsidR="00315B6D" w:rsidRDefault="00315B6D" w:rsidP="00E7165A">
            <w:pPr>
              <w:pStyle w:val="TableContents"/>
              <w:jc w:val="center"/>
              <w:rPr>
                <w:rFonts w:ascii="Arial" w:eastAsiaTheme="minorEastAsia"/>
                <w:b/>
                <w:sz w:val="20"/>
              </w:rPr>
            </w:pPr>
          </w:p>
          <w:p w:rsidR="00315B6D" w:rsidRDefault="00315B6D" w:rsidP="00E7165A">
            <w:pPr>
              <w:pStyle w:val="TableContents"/>
              <w:jc w:val="center"/>
              <w:rPr>
                <w:rFonts w:ascii="Arial" w:eastAsiaTheme="minorEastAsia"/>
                <w:b/>
                <w:sz w:val="20"/>
              </w:rPr>
            </w:pPr>
            <w:r>
              <w:rPr>
                <w:rFonts w:ascii="Arial" w:eastAsiaTheme="minorEastAsia"/>
                <w:b/>
                <w:sz w:val="20"/>
              </w:rPr>
              <w:t>P.L.80-2014</w:t>
            </w:r>
          </w:p>
          <w:p w:rsidR="00315B6D" w:rsidRPr="00357DBF" w:rsidRDefault="00315B6D" w:rsidP="00E7165A">
            <w:pPr>
              <w:pStyle w:val="TableContents"/>
              <w:jc w:val="center"/>
              <w:rPr>
                <w:rFonts w:ascii="Arial" w:eastAsiaTheme="minorEastAsia"/>
                <w:b/>
                <w:sz w:val="20"/>
              </w:rPr>
            </w:pPr>
          </w:p>
        </w:tc>
        <w:tc>
          <w:tcPr>
            <w:tcW w:w="8010" w:type="dxa"/>
            <w:tcBorders>
              <w:top w:val="nil"/>
              <w:left w:val="single" w:sz="2" w:space="0" w:color="000000"/>
              <w:bottom w:val="single" w:sz="2" w:space="0" w:color="000000"/>
              <w:right w:val="nil"/>
            </w:tcBorders>
            <w:shd w:val="clear" w:color="auto" w:fill="auto"/>
          </w:tcPr>
          <w:p w:rsidR="002C2779" w:rsidRDefault="002C2779" w:rsidP="00E7165A">
            <w:pPr>
              <w:pStyle w:val="TableContents"/>
              <w:rPr>
                <w:rFonts w:ascii="Arial" w:eastAsiaTheme="minorEastAsia"/>
                <w:b/>
                <w:sz w:val="20"/>
              </w:rPr>
            </w:pPr>
          </w:p>
          <w:p w:rsidR="00BD5512" w:rsidRDefault="00BD5512" w:rsidP="00BD5512">
            <w:pPr>
              <w:pStyle w:val="TableContents"/>
              <w:rPr>
                <w:rFonts w:ascii="Arial" w:eastAsiaTheme="minorEastAsia"/>
                <w:sz w:val="20"/>
              </w:rPr>
            </w:pPr>
            <w:r w:rsidRPr="00357DBF">
              <w:rPr>
                <w:rFonts w:ascii="Arial" w:eastAsiaTheme="minorEastAsia"/>
                <w:b/>
                <w:sz w:val="20"/>
              </w:rPr>
              <w:t xml:space="preserve">State and Local Taxation. </w:t>
            </w:r>
            <w:r w:rsidRPr="000838B5">
              <w:rPr>
                <w:rFonts w:ascii="Arial" w:eastAsiaTheme="minorEastAsia"/>
                <w:sz w:val="20"/>
              </w:rPr>
              <w:t xml:space="preserve">Specifies that the county income tax council of a county may adopt an ordinance providing that if for a particular assessment date the acquisition cost of a taxpayer's business personal property in a county is less than $20,000: (1) the taxpayer is not required to file a personal property return for the taxpayer's business personal property in the county for that assessment date; and (2) the taxpayer's business personal property in the county for that assessment date is exempt from taxation. Specifies that such an exemption ordinance may apply to assessment dates after December 31, 2015. </w:t>
            </w:r>
          </w:p>
          <w:p w:rsidR="00BD5512" w:rsidRDefault="00BD5512" w:rsidP="00BD5512">
            <w:pPr>
              <w:pStyle w:val="TableContents"/>
              <w:rPr>
                <w:rFonts w:ascii="Arial" w:eastAsiaTheme="minorEastAsia"/>
                <w:sz w:val="20"/>
              </w:rPr>
            </w:pPr>
          </w:p>
          <w:p w:rsidR="00BD5512" w:rsidRDefault="00BD5512" w:rsidP="00BD5512">
            <w:pPr>
              <w:pStyle w:val="TableContents"/>
              <w:rPr>
                <w:rFonts w:ascii="Arial" w:eastAsiaTheme="minorEastAsia"/>
                <w:sz w:val="20"/>
              </w:rPr>
            </w:pPr>
            <w:r w:rsidRPr="000838B5">
              <w:rPr>
                <w:rFonts w:ascii="Arial" w:eastAsiaTheme="minorEastAsia"/>
                <w:sz w:val="20"/>
              </w:rPr>
              <w:t xml:space="preserve">Provides that a county income tax council may adopt an ordinance to exempt from property taxation any new business personal property that is located in the county. </w:t>
            </w:r>
          </w:p>
          <w:p w:rsidR="00BD5512" w:rsidRDefault="00BD5512" w:rsidP="00BD5512">
            <w:pPr>
              <w:pStyle w:val="TableContents"/>
              <w:rPr>
                <w:rFonts w:ascii="Arial" w:eastAsiaTheme="minorEastAsia"/>
                <w:sz w:val="20"/>
              </w:rPr>
            </w:pPr>
          </w:p>
          <w:p w:rsidR="00BD5512" w:rsidRDefault="00BD5512" w:rsidP="00BD5512">
            <w:pPr>
              <w:pStyle w:val="TableContents"/>
              <w:rPr>
                <w:rFonts w:ascii="Arial" w:eastAsiaTheme="minorEastAsia"/>
                <w:sz w:val="20"/>
              </w:rPr>
            </w:pPr>
            <w:r w:rsidRPr="000838B5">
              <w:rPr>
                <w:rFonts w:ascii="Arial" w:eastAsiaTheme="minorEastAsia"/>
                <w:sz w:val="20"/>
              </w:rPr>
              <w:t xml:space="preserve">Provides that a designating body may establish an enhanced abatement schedule for personal property that may not exceed 20 years. </w:t>
            </w:r>
          </w:p>
          <w:p w:rsidR="00BD5512" w:rsidRDefault="00BD5512" w:rsidP="00BD5512">
            <w:pPr>
              <w:pStyle w:val="TableContents"/>
              <w:rPr>
                <w:rFonts w:ascii="Arial" w:eastAsiaTheme="minorEastAsia"/>
                <w:sz w:val="20"/>
              </w:rPr>
            </w:pPr>
          </w:p>
          <w:p w:rsidR="00BD5512" w:rsidRDefault="00BD5512" w:rsidP="00BD5512">
            <w:pPr>
              <w:pStyle w:val="TableContents"/>
              <w:rPr>
                <w:rFonts w:ascii="Arial" w:eastAsiaTheme="minorEastAsia"/>
                <w:sz w:val="20"/>
              </w:rPr>
            </w:pPr>
            <w:r w:rsidRPr="000838B5">
              <w:rPr>
                <w:rFonts w:ascii="Arial" w:eastAsiaTheme="minorEastAsia"/>
                <w:sz w:val="20"/>
              </w:rPr>
              <w:t xml:space="preserve">Provides that if a county or municipality receives a reimbursement, repayment, or penalty from a taxpayer on account of the taxpayer's failure to comply with the statement of benefits provided by the taxpayer as part of a property tax abatement or on account of the taxpayer's failure to comply with any other requirement to receive a property tax abatement, the county or municipal fiscal officer shall distribute the amount of the reimbursement, repayment, or penalty on a pro rata basis to each taxing unit that </w:t>
            </w:r>
            <w:r w:rsidRPr="000838B5">
              <w:rPr>
                <w:rFonts w:ascii="Arial" w:eastAsiaTheme="minorEastAsia"/>
                <w:sz w:val="20"/>
              </w:rPr>
              <w:lastRenderedPageBreak/>
              <w:t xml:space="preserve">contains the property that was subject to the abatement deduction. </w:t>
            </w:r>
          </w:p>
          <w:p w:rsidR="00BD5512" w:rsidRDefault="00BD5512" w:rsidP="00BD5512">
            <w:pPr>
              <w:pStyle w:val="TableContents"/>
              <w:rPr>
                <w:rFonts w:ascii="Arial" w:eastAsiaTheme="minorEastAsia"/>
                <w:sz w:val="20"/>
              </w:rPr>
            </w:pPr>
          </w:p>
          <w:p w:rsidR="00BD5512" w:rsidRDefault="00BD5512" w:rsidP="00BD5512">
            <w:pPr>
              <w:pStyle w:val="TableContents"/>
              <w:rPr>
                <w:rFonts w:ascii="Arial" w:eastAsiaTheme="minorEastAsia"/>
                <w:sz w:val="20"/>
              </w:rPr>
            </w:pPr>
            <w:r w:rsidRPr="000838B5">
              <w:rPr>
                <w:rFonts w:ascii="Arial" w:eastAsiaTheme="minorEastAsia"/>
                <w:sz w:val="20"/>
              </w:rPr>
              <w:t>Phases down the corporate income tax rate from 6.5% in 2015 to 4.9% after June 30, 2021.</w:t>
            </w:r>
          </w:p>
          <w:p w:rsidR="00BD5512" w:rsidRDefault="00BD5512" w:rsidP="00BD5512">
            <w:pPr>
              <w:pStyle w:val="TableContents"/>
              <w:rPr>
                <w:rFonts w:ascii="Arial" w:eastAsiaTheme="minorEastAsia"/>
                <w:sz w:val="20"/>
              </w:rPr>
            </w:pPr>
          </w:p>
          <w:p w:rsidR="00BD5512" w:rsidRDefault="00BD5512" w:rsidP="00BD5512">
            <w:pPr>
              <w:pStyle w:val="TableContents"/>
              <w:rPr>
                <w:rFonts w:ascii="Arial" w:eastAsiaTheme="minorEastAsia"/>
                <w:sz w:val="20"/>
              </w:rPr>
            </w:pPr>
            <w:r w:rsidRPr="000838B5">
              <w:rPr>
                <w:rFonts w:ascii="Arial" w:eastAsiaTheme="minorEastAsia"/>
                <w:sz w:val="20"/>
              </w:rPr>
              <w:t xml:space="preserve">Phases down the financial institutions tax rate to 4.9% in calendar year 2023. </w:t>
            </w:r>
          </w:p>
          <w:p w:rsidR="00BD5512" w:rsidRDefault="00BD5512" w:rsidP="00BD5512">
            <w:pPr>
              <w:pStyle w:val="TableContents"/>
              <w:rPr>
                <w:rFonts w:ascii="Arial" w:eastAsiaTheme="minorEastAsia"/>
                <w:sz w:val="20"/>
              </w:rPr>
            </w:pPr>
          </w:p>
          <w:p w:rsidR="00BD5512" w:rsidRDefault="00BD5512" w:rsidP="00BD5512">
            <w:pPr>
              <w:pStyle w:val="TableContents"/>
              <w:rPr>
                <w:rFonts w:ascii="Arial" w:eastAsiaTheme="minorEastAsia"/>
                <w:sz w:val="20"/>
              </w:rPr>
            </w:pPr>
            <w:r w:rsidRPr="000838B5">
              <w:rPr>
                <w:rFonts w:ascii="Arial" w:eastAsiaTheme="minorEastAsia"/>
                <w:sz w:val="20"/>
              </w:rPr>
              <w:t xml:space="preserve">Establishes the commission on business personal property and business taxation to study certain </w:t>
            </w:r>
            <w:r w:rsidR="00A8793E">
              <w:rPr>
                <w:rFonts w:ascii="Arial" w:eastAsiaTheme="minorEastAsia"/>
                <w:sz w:val="20"/>
              </w:rPr>
              <w:t xml:space="preserve">tax </w:t>
            </w:r>
            <w:r w:rsidRPr="000838B5">
              <w:rPr>
                <w:rFonts w:ascii="Arial" w:eastAsiaTheme="minorEastAsia"/>
                <w:sz w:val="20"/>
              </w:rPr>
              <w:t>issues during 2014.</w:t>
            </w:r>
          </w:p>
          <w:p w:rsidR="00801D8B" w:rsidRDefault="00801D8B" w:rsidP="00BD5512">
            <w:pPr>
              <w:pStyle w:val="TableContents"/>
              <w:rPr>
                <w:rFonts w:ascii="Arial" w:eastAsiaTheme="minorEastAsia"/>
                <w:sz w:val="20"/>
              </w:rPr>
            </w:pPr>
          </w:p>
          <w:p w:rsidR="00801D8B" w:rsidRDefault="00801D8B" w:rsidP="00BD5512">
            <w:pPr>
              <w:pStyle w:val="TableContents"/>
              <w:rPr>
                <w:rFonts w:ascii="Arial" w:eastAsiaTheme="minorEastAsia"/>
                <w:b/>
                <w:sz w:val="20"/>
              </w:rPr>
            </w:pPr>
            <w:r w:rsidRPr="00757063">
              <w:rPr>
                <w:rFonts w:ascii="Arial" w:eastAsiaTheme="minorEastAsia"/>
                <w:b/>
                <w:sz w:val="20"/>
              </w:rPr>
              <w:t>Link to Enrolled Act:</w:t>
            </w:r>
            <w:r w:rsidRPr="00801D8B">
              <w:t xml:space="preserve"> </w:t>
            </w:r>
            <w:hyperlink r:id="rId15" w:history="1">
              <w:r w:rsidRPr="00801D8B">
                <w:rPr>
                  <w:rStyle w:val="Hyperlink"/>
                  <w:rFonts w:ascii="Arial" w:eastAsiaTheme="minorEastAsia"/>
                  <w:sz w:val="20"/>
                </w:rPr>
                <w:t>http://iga.in.gov/static-documents/2/4/e/e/24ee92ce/SB0001.06.ENRS.pdf</w:t>
              </w:r>
            </w:hyperlink>
          </w:p>
          <w:p w:rsidR="00BD5512" w:rsidRPr="00357DBF" w:rsidRDefault="00BD5512" w:rsidP="00E7165A">
            <w:pPr>
              <w:pStyle w:val="TableContents"/>
              <w:rPr>
                <w:rFonts w:ascii="Arial" w:eastAsiaTheme="minorEastAsia"/>
                <w:b/>
                <w:sz w:val="20"/>
              </w:rPr>
            </w:pPr>
          </w:p>
        </w:tc>
        <w:tc>
          <w:tcPr>
            <w:tcW w:w="2970" w:type="dxa"/>
            <w:tcBorders>
              <w:top w:val="nil"/>
              <w:left w:val="single" w:sz="2" w:space="0" w:color="000000"/>
              <w:bottom w:val="single" w:sz="2" w:space="0" w:color="000000"/>
              <w:right w:val="single" w:sz="2" w:space="0" w:color="000000"/>
            </w:tcBorders>
            <w:shd w:val="clear" w:color="auto" w:fill="auto"/>
          </w:tcPr>
          <w:p w:rsidR="002C2779" w:rsidRDefault="002C2779" w:rsidP="00E7165A">
            <w:pPr>
              <w:pStyle w:val="TableContents"/>
              <w:rPr>
                <w:rFonts w:ascii="Arial" w:eastAsiaTheme="minorEastAsia"/>
                <w:sz w:val="20"/>
              </w:rPr>
            </w:pPr>
          </w:p>
          <w:p w:rsidR="00D35875" w:rsidRPr="00D35875" w:rsidRDefault="00D35875" w:rsidP="00D35875">
            <w:pPr>
              <w:pStyle w:val="TableContents"/>
              <w:rPr>
                <w:rFonts w:ascii="Arial" w:eastAsiaTheme="minorEastAsia"/>
                <w:b/>
                <w:sz w:val="20"/>
              </w:rPr>
            </w:pPr>
            <w:r w:rsidRPr="00D35875">
              <w:rPr>
                <w:rFonts w:ascii="Arial" w:eastAsiaTheme="minorEastAsia"/>
                <w:b/>
                <w:sz w:val="20"/>
              </w:rPr>
              <w:t xml:space="preserve">This </w:t>
            </w:r>
            <w:r>
              <w:rPr>
                <w:rFonts w:ascii="Arial" w:eastAsiaTheme="minorEastAsia"/>
                <w:b/>
                <w:sz w:val="20"/>
              </w:rPr>
              <w:t xml:space="preserve">will </w:t>
            </w:r>
            <w:r w:rsidRPr="00D35875">
              <w:rPr>
                <w:rFonts w:ascii="Arial" w:eastAsiaTheme="minorEastAsia"/>
                <w:b/>
                <w:sz w:val="20"/>
              </w:rPr>
              <w:t>impact public libraries</w:t>
            </w:r>
          </w:p>
        </w:tc>
        <w:tc>
          <w:tcPr>
            <w:tcW w:w="1710" w:type="dxa"/>
            <w:tcBorders>
              <w:top w:val="nil"/>
              <w:left w:val="single" w:sz="2" w:space="0" w:color="000000"/>
              <w:bottom w:val="single" w:sz="2" w:space="0" w:color="000000"/>
              <w:right w:val="single" w:sz="2" w:space="0" w:color="000000"/>
            </w:tcBorders>
          </w:tcPr>
          <w:p w:rsidR="002C2779" w:rsidRDefault="002C2779" w:rsidP="00324C09">
            <w:pPr>
              <w:pStyle w:val="TableContents"/>
              <w:jc w:val="center"/>
              <w:rPr>
                <w:rFonts w:ascii="Arial" w:eastAsiaTheme="minorEastAsia"/>
                <w:b/>
                <w:sz w:val="20"/>
              </w:rPr>
            </w:pPr>
          </w:p>
          <w:p w:rsidR="00D35875" w:rsidRDefault="00D35875" w:rsidP="00324C09">
            <w:pPr>
              <w:pStyle w:val="TableContents"/>
              <w:jc w:val="center"/>
              <w:rPr>
                <w:rFonts w:ascii="Arial" w:eastAsiaTheme="minorEastAsia"/>
                <w:b/>
                <w:sz w:val="20"/>
                <w:u w:val="single"/>
              </w:rPr>
            </w:pPr>
            <w:r>
              <w:rPr>
                <w:rFonts w:ascii="Arial" w:eastAsiaTheme="minorEastAsia"/>
                <w:b/>
                <w:sz w:val="20"/>
              </w:rPr>
              <w:t xml:space="preserve">July 1, </w:t>
            </w:r>
            <w:r w:rsidRPr="00D35875">
              <w:rPr>
                <w:rFonts w:ascii="Arial" w:eastAsiaTheme="minorEastAsia"/>
                <w:b/>
                <w:sz w:val="20"/>
                <w:u w:val="single"/>
              </w:rPr>
              <w:t>2015</w:t>
            </w:r>
          </w:p>
          <w:p w:rsidR="00A8793E" w:rsidRDefault="00A8793E" w:rsidP="00324C09">
            <w:pPr>
              <w:pStyle w:val="TableContents"/>
              <w:jc w:val="center"/>
              <w:rPr>
                <w:rFonts w:ascii="Arial" w:eastAsiaTheme="minorEastAsia"/>
                <w:b/>
                <w:sz w:val="20"/>
                <w:u w:val="single"/>
              </w:rPr>
            </w:pPr>
          </w:p>
          <w:p w:rsidR="00A8793E" w:rsidRDefault="00A8793E" w:rsidP="00324C09">
            <w:pPr>
              <w:pStyle w:val="TableContents"/>
              <w:jc w:val="center"/>
              <w:rPr>
                <w:rFonts w:ascii="Arial" w:eastAsiaTheme="minorEastAsia"/>
                <w:b/>
                <w:sz w:val="20"/>
                <w:u w:val="single"/>
              </w:rPr>
            </w:pPr>
          </w:p>
          <w:p w:rsidR="00A8793E" w:rsidRDefault="00A8793E" w:rsidP="00324C09">
            <w:pPr>
              <w:pStyle w:val="TableContents"/>
              <w:jc w:val="center"/>
              <w:rPr>
                <w:rFonts w:ascii="Arial" w:eastAsiaTheme="minorEastAsia"/>
                <w:b/>
                <w:sz w:val="20"/>
                <w:u w:val="single"/>
              </w:rPr>
            </w:pPr>
          </w:p>
          <w:p w:rsidR="00A8793E" w:rsidRDefault="00A8793E" w:rsidP="00324C09">
            <w:pPr>
              <w:pStyle w:val="TableContents"/>
              <w:jc w:val="center"/>
              <w:rPr>
                <w:rFonts w:ascii="Arial" w:eastAsiaTheme="minorEastAsia"/>
                <w:b/>
                <w:sz w:val="20"/>
                <w:u w:val="single"/>
              </w:rPr>
            </w:pPr>
          </w:p>
          <w:p w:rsidR="00A8793E" w:rsidRDefault="00A8793E" w:rsidP="00324C09">
            <w:pPr>
              <w:pStyle w:val="TableContents"/>
              <w:jc w:val="center"/>
              <w:rPr>
                <w:rFonts w:ascii="Arial" w:eastAsiaTheme="minorEastAsia"/>
                <w:b/>
                <w:sz w:val="20"/>
                <w:u w:val="single"/>
              </w:rPr>
            </w:pPr>
          </w:p>
          <w:p w:rsidR="00A8793E" w:rsidRDefault="00A8793E" w:rsidP="00324C09">
            <w:pPr>
              <w:pStyle w:val="TableContents"/>
              <w:jc w:val="center"/>
              <w:rPr>
                <w:rFonts w:ascii="Arial" w:eastAsiaTheme="minorEastAsia"/>
                <w:b/>
                <w:sz w:val="20"/>
                <w:u w:val="single"/>
              </w:rPr>
            </w:pPr>
          </w:p>
          <w:p w:rsidR="00A8793E" w:rsidRDefault="00A8793E" w:rsidP="00324C09">
            <w:pPr>
              <w:pStyle w:val="TableContents"/>
              <w:jc w:val="center"/>
              <w:rPr>
                <w:rFonts w:ascii="Arial" w:eastAsiaTheme="minorEastAsia"/>
                <w:b/>
                <w:sz w:val="20"/>
                <w:u w:val="single"/>
              </w:rPr>
            </w:pPr>
          </w:p>
          <w:p w:rsidR="00A8793E" w:rsidRDefault="00A8793E" w:rsidP="00324C09">
            <w:pPr>
              <w:pStyle w:val="TableContents"/>
              <w:jc w:val="center"/>
              <w:rPr>
                <w:rFonts w:ascii="Arial" w:eastAsiaTheme="minorEastAsia"/>
                <w:b/>
                <w:sz w:val="20"/>
                <w:u w:val="single"/>
              </w:rPr>
            </w:pPr>
          </w:p>
          <w:p w:rsidR="00A8793E" w:rsidRDefault="00A8793E" w:rsidP="00324C09">
            <w:pPr>
              <w:pStyle w:val="TableContents"/>
              <w:jc w:val="center"/>
              <w:rPr>
                <w:rFonts w:ascii="Arial" w:eastAsiaTheme="minorEastAsia"/>
                <w:b/>
                <w:sz w:val="20"/>
                <w:u w:val="single"/>
              </w:rPr>
            </w:pPr>
          </w:p>
          <w:p w:rsidR="00A8793E" w:rsidRDefault="00A8793E" w:rsidP="00324C09">
            <w:pPr>
              <w:pStyle w:val="TableContents"/>
              <w:jc w:val="center"/>
              <w:rPr>
                <w:rFonts w:ascii="Arial" w:eastAsiaTheme="minorEastAsia"/>
                <w:b/>
                <w:sz w:val="20"/>
                <w:u w:val="single"/>
              </w:rPr>
            </w:pPr>
          </w:p>
          <w:p w:rsidR="00A8793E" w:rsidRDefault="00A8793E" w:rsidP="00324C09">
            <w:pPr>
              <w:pStyle w:val="TableContents"/>
              <w:jc w:val="center"/>
              <w:rPr>
                <w:rFonts w:ascii="Arial" w:eastAsiaTheme="minorEastAsia"/>
                <w:b/>
                <w:sz w:val="20"/>
                <w:u w:val="single"/>
              </w:rPr>
            </w:pPr>
          </w:p>
          <w:p w:rsidR="00A8793E" w:rsidRDefault="00A8793E" w:rsidP="00324C09">
            <w:pPr>
              <w:pStyle w:val="TableContents"/>
              <w:jc w:val="center"/>
              <w:rPr>
                <w:rFonts w:ascii="Arial" w:eastAsiaTheme="minorEastAsia"/>
                <w:b/>
                <w:sz w:val="20"/>
                <w:u w:val="single"/>
              </w:rPr>
            </w:pPr>
          </w:p>
          <w:p w:rsidR="00A8793E" w:rsidRDefault="00A8793E" w:rsidP="00324C09">
            <w:pPr>
              <w:pStyle w:val="TableContents"/>
              <w:jc w:val="center"/>
              <w:rPr>
                <w:rFonts w:ascii="Arial" w:eastAsiaTheme="minorEastAsia"/>
                <w:b/>
                <w:sz w:val="20"/>
                <w:u w:val="single"/>
              </w:rPr>
            </w:pPr>
          </w:p>
          <w:p w:rsidR="00A8793E" w:rsidRDefault="00A8793E" w:rsidP="00324C09">
            <w:pPr>
              <w:pStyle w:val="TableContents"/>
              <w:jc w:val="center"/>
              <w:rPr>
                <w:rFonts w:ascii="Arial" w:eastAsiaTheme="minorEastAsia"/>
                <w:b/>
                <w:sz w:val="20"/>
                <w:u w:val="single"/>
              </w:rPr>
            </w:pPr>
          </w:p>
          <w:p w:rsidR="00A8793E" w:rsidRPr="00A8793E" w:rsidRDefault="00A8793E" w:rsidP="00324C09">
            <w:pPr>
              <w:pStyle w:val="TableContents"/>
              <w:jc w:val="center"/>
              <w:rPr>
                <w:rFonts w:ascii="Arial" w:eastAsiaTheme="minorEastAsia"/>
                <w:b/>
                <w:sz w:val="20"/>
              </w:rPr>
            </w:pPr>
            <w:r w:rsidRPr="00A8793E">
              <w:rPr>
                <w:rFonts w:ascii="Arial" w:eastAsiaTheme="minorEastAsia"/>
                <w:b/>
                <w:sz w:val="20"/>
              </w:rPr>
              <w:t>July 1, 2014</w:t>
            </w:r>
          </w:p>
          <w:p w:rsidR="00A8793E" w:rsidRDefault="00A8793E" w:rsidP="00324C09">
            <w:pPr>
              <w:pStyle w:val="TableContents"/>
              <w:jc w:val="center"/>
              <w:rPr>
                <w:rFonts w:ascii="Arial" w:eastAsiaTheme="minorEastAsia"/>
                <w:b/>
                <w:sz w:val="20"/>
                <w:u w:val="single"/>
              </w:rPr>
            </w:pPr>
          </w:p>
          <w:p w:rsidR="00A8793E" w:rsidRDefault="00A8793E" w:rsidP="00324C09">
            <w:pPr>
              <w:pStyle w:val="TableContents"/>
              <w:jc w:val="center"/>
              <w:rPr>
                <w:rFonts w:ascii="Arial" w:eastAsiaTheme="minorEastAsia"/>
                <w:b/>
                <w:sz w:val="20"/>
                <w:u w:val="single"/>
              </w:rPr>
            </w:pPr>
          </w:p>
          <w:p w:rsidR="00A8793E" w:rsidRDefault="00A8793E" w:rsidP="00324C09">
            <w:pPr>
              <w:pStyle w:val="TableContents"/>
              <w:jc w:val="center"/>
              <w:rPr>
                <w:rFonts w:ascii="Arial" w:eastAsiaTheme="minorEastAsia"/>
                <w:b/>
                <w:sz w:val="20"/>
                <w:u w:val="single"/>
              </w:rPr>
            </w:pPr>
          </w:p>
          <w:p w:rsidR="00A8793E" w:rsidRDefault="00A8793E" w:rsidP="00324C09">
            <w:pPr>
              <w:pStyle w:val="TableContents"/>
              <w:jc w:val="center"/>
              <w:rPr>
                <w:rFonts w:ascii="Arial" w:eastAsiaTheme="minorEastAsia"/>
                <w:b/>
                <w:sz w:val="20"/>
                <w:u w:val="single"/>
              </w:rPr>
            </w:pPr>
          </w:p>
          <w:p w:rsidR="00A8793E" w:rsidRDefault="00A8793E" w:rsidP="00324C09">
            <w:pPr>
              <w:pStyle w:val="TableContents"/>
              <w:jc w:val="center"/>
              <w:rPr>
                <w:rFonts w:ascii="Arial" w:eastAsiaTheme="minorEastAsia"/>
                <w:b/>
                <w:sz w:val="20"/>
                <w:u w:val="single"/>
              </w:rPr>
            </w:pPr>
          </w:p>
          <w:p w:rsidR="00A8793E" w:rsidRDefault="00A8793E" w:rsidP="00324C09">
            <w:pPr>
              <w:pStyle w:val="TableContents"/>
              <w:jc w:val="center"/>
              <w:rPr>
                <w:rFonts w:ascii="Arial" w:eastAsiaTheme="minorEastAsia"/>
                <w:b/>
                <w:sz w:val="20"/>
                <w:u w:val="single"/>
              </w:rPr>
            </w:pPr>
          </w:p>
          <w:p w:rsidR="00A8793E" w:rsidRDefault="00A8793E" w:rsidP="00324C09">
            <w:pPr>
              <w:pStyle w:val="TableContents"/>
              <w:jc w:val="center"/>
              <w:rPr>
                <w:rFonts w:ascii="Arial" w:eastAsiaTheme="minorEastAsia"/>
                <w:b/>
                <w:sz w:val="20"/>
                <w:u w:val="single"/>
              </w:rPr>
            </w:pPr>
          </w:p>
          <w:p w:rsidR="00A8793E" w:rsidRPr="00A8793E" w:rsidRDefault="00A8793E" w:rsidP="00324C09">
            <w:pPr>
              <w:pStyle w:val="TableContents"/>
              <w:jc w:val="center"/>
              <w:rPr>
                <w:rFonts w:ascii="Arial" w:eastAsiaTheme="minorEastAsia"/>
                <w:b/>
                <w:sz w:val="20"/>
              </w:rPr>
            </w:pPr>
            <w:r w:rsidRPr="00A8793E">
              <w:rPr>
                <w:rFonts w:ascii="Arial" w:eastAsiaTheme="minorEastAsia"/>
                <w:b/>
                <w:sz w:val="20"/>
              </w:rPr>
              <w:t>July 1, 2014</w:t>
            </w:r>
          </w:p>
          <w:p w:rsidR="00A8793E" w:rsidRDefault="00A8793E" w:rsidP="00324C09">
            <w:pPr>
              <w:pStyle w:val="TableContents"/>
              <w:jc w:val="center"/>
              <w:rPr>
                <w:rFonts w:ascii="Arial" w:eastAsiaTheme="minorEastAsia"/>
                <w:b/>
                <w:sz w:val="20"/>
                <w:u w:val="single"/>
              </w:rPr>
            </w:pPr>
          </w:p>
          <w:p w:rsidR="00A8793E" w:rsidRDefault="00A8793E" w:rsidP="00324C09">
            <w:pPr>
              <w:pStyle w:val="TableContents"/>
              <w:jc w:val="center"/>
              <w:rPr>
                <w:rFonts w:ascii="Arial" w:eastAsiaTheme="minorEastAsia"/>
                <w:b/>
                <w:sz w:val="20"/>
                <w:u w:val="single"/>
              </w:rPr>
            </w:pPr>
          </w:p>
          <w:p w:rsidR="00A8793E" w:rsidRDefault="00A8793E" w:rsidP="00324C09">
            <w:pPr>
              <w:pStyle w:val="TableContents"/>
              <w:jc w:val="center"/>
              <w:rPr>
                <w:rFonts w:ascii="Arial" w:eastAsiaTheme="minorEastAsia"/>
                <w:b/>
                <w:sz w:val="20"/>
              </w:rPr>
            </w:pPr>
            <w:r w:rsidRPr="00A8793E">
              <w:rPr>
                <w:rFonts w:ascii="Arial" w:eastAsiaTheme="minorEastAsia"/>
                <w:b/>
                <w:sz w:val="20"/>
              </w:rPr>
              <w:t>July 1, 2014</w:t>
            </w:r>
          </w:p>
          <w:p w:rsidR="00A8793E" w:rsidRDefault="00A8793E" w:rsidP="00324C09">
            <w:pPr>
              <w:pStyle w:val="TableContents"/>
              <w:jc w:val="center"/>
              <w:rPr>
                <w:rFonts w:ascii="Arial" w:eastAsiaTheme="minorEastAsia"/>
                <w:b/>
                <w:sz w:val="20"/>
              </w:rPr>
            </w:pPr>
          </w:p>
          <w:p w:rsidR="00A8793E" w:rsidRPr="00A8793E" w:rsidRDefault="00A8793E" w:rsidP="00324C09">
            <w:pPr>
              <w:pStyle w:val="TableContents"/>
              <w:jc w:val="center"/>
              <w:rPr>
                <w:rFonts w:ascii="Arial" w:eastAsiaTheme="minorEastAsia"/>
                <w:b/>
                <w:sz w:val="20"/>
              </w:rPr>
            </w:pPr>
            <w:r>
              <w:rPr>
                <w:rFonts w:ascii="Arial" w:eastAsiaTheme="minorEastAsia"/>
                <w:b/>
                <w:sz w:val="20"/>
              </w:rPr>
              <w:t>Upon Passage</w:t>
            </w:r>
          </w:p>
        </w:tc>
      </w:tr>
      <w:tr w:rsidR="002C2779" w:rsidRPr="00357DBF" w:rsidTr="002C2779">
        <w:tc>
          <w:tcPr>
            <w:tcW w:w="1518" w:type="dxa"/>
            <w:tcBorders>
              <w:top w:val="nil"/>
              <w:left w:val="single" w:sz="2" w:space="0" w:color="000000"/>
              <w:bottom w:val="single" w:sz="2" w:space="0" w:color="000000"/>
              <w:right w:val="nil"/>
            </w:tcBorders>
            <w:shd w:val="clear" w:color="auto" w:fill="auto"/>
          </w:tcPr>
          <w:p w:rsidR="002C2779" w:rsidRDefault="002C2779" w:rsidP="00E7165A">
            <w:pPr>
              <w:pStyle w:val="TableContents"/>
              <w:jc w:val="center"/>
              <w:rPr>
                <w:rFonts w:ascii="Arial" w:eastAsiaTheme="minorEastAsia"/>
                <w:b/>
                <w:sz w:val="20"/>
              </w:rPr>
            </w:pPr>
          </w:p>
          <w:p w:rsidR="0058432F" w:rsidRDefault="0058432F" w:rsidP="00E7165A">
            <w:pPr>
              <w:pStyle w:val="TableContents"/>
              <w:jc w:val="center"/>
              <w:rPr>
                <w:rFonts w:ascii="Arial" w:eastAsiaTheme="minorEastAsia"/>
                <w:b/>
                <w:sz w:val="20"/>
              </w:rPr>
            </w:pPr>
            <w:r>
              <w:rPr>
                <w:rFonts w:ascii="Arial" w:eastAsiaTheme="minorEastAsia"/>
                <w:b/>
                <w:sz w:val="20"/>
              </w:rPr>
              <w:t>SEA 225</w:t>
            </w:r>
          </w:p>
          <w:p w:rsidR="0058432F" w:rsidRDefault="0058432F" w:rsidP="00E7165A">
            <w:pPr>
              <w:pStyle w:val="TableContents"/>
              <w:jc w:val="center"/>
              <w:rPr>
                <w:rFonts w:ascii="Arial" w:eastAsiaTheme="minorEastAsia"/>
                <w:b/>
                <w:sz w:val="20"/>
              </w:rPr>
            </w:pPr>
          </w:p>
          <w:p w:rsidR="0058432F" w:rsidRDefault="0058432F" w:rsidP="00E7165A">
            <w:pPr>
              <w:pStyle w:val="TableContents"/>
              <w:jc w:val="center"/>
              <w:rPr>
                <w:rFonts w:ascii="Arial" w:eastAsiaTheme="minorEastAsia"/>
                <w:b/>
                <w:sz w:val="20"/>
              </w:rPr>
            </w:pPr>
            <w:r>
              <w:rPr>
                <w:rFonts w:ascii="Arial" w:eastAsiaTheme="minorEastAsia"/>
                <w:b/>
                <w:sz w:val="20"/>
              </w:rPr>
              <w:t>P.L.91-2014</w:t>
            </w:r>
          </w:p>
          <w:p w:rsidR="0058432F" w:rsidRPr="00357DBF" w:rsidRDefault="0058432F" w:rsidP="00E7165A">
            <w:pPr>
              <w:pStyle w:val="TableContents"/>
              <w:jc w:val="center"/>
              <w:rPr>
                <w:rFonts w:ascii="Arial" w:eastAsiaTheme="minorEastAsia"/>
                <w:b/>
                <w:sz w:val="20"/>
              </w:rPr>
            </w:pPr>
          </w:p>
        </w:tc>
        <w:tc>
          <w:tcPr>
            <w:tcW w:w="8010" w:type="dxa"/>
            <w:tcBorders>
              <w:top w:val="nil"/>
              <w:left w:val="single" w:sz="2" w:space="0" w:color="000000"/>
              <w:bottom w:val="single" w:sz="2" w:space="0" w:color="000000"/>
              <w:right w:val="nil"/>
            </w:tcBorders>
            <w:shd w:val="clear" w:color="auto" w:fill="auto"/>
          </w:tcPr>
          <w:p w:rsidR="002C2779" w:rsidRDefault="002C2779" w:rsidP="00E7165A">
            <w:pPr>
              <w:pStyle w:val="TableContents"/>
              <w:rPr>
                <w:rFonts w:ascii="Arial" w:eastAsiaTheme="minorEastAsia"/>
                <w:b/>
                <w:sz w:val="20"/>
              </w:rPr>
            </w:pPr>
          </w:p>
          <w:p w:rsidR="00BD5512" w:rsidRPr="00627E3F" w:rsidRDefault="00BD5512" w:rsidP="00BD5512">
            <w:pPr>
              <w:pStyle w:val="TableContents"/>
              <w:rPr>
                <w:rFonts w:ascii="Arial" w:eastAsiaTheme="minorEastAsia"/>
                <w:sz w:val="20"/>
                <w:szCs w:val="20"/>
              </w:rPr>
            </w:pPr>
            <w:r w:rsidRPr="00357DBF">
              <w:rPr>
                <w:rFonts w:ascii="Arial" w:eastAsiaTheme="minorEastAsia"/>
                <w:b/>
                <w:sz w:val="20"/>
              </w:rPr>
              <w:t>Various State and Local Financial Matters</w:t>
            </w:r>
            <w:r w:rsidRPr="00357DBF">
              <w:rPr>
                <w:rFonts w:ascii="Arial" w:eastAsiaTheme="minorEastAsia"/>
                <w:sz w:val="20"/>
              </w:rPr>
              <w:t xml:space="preserve">. Reduces from 50 to 25 hard copies of state government publications </w:t>
            </w:r>
            <w:r w:rsidR="00627E3F">
              <w:rPr>
                <w:rFonts w:ascii="Arial" w:eastAsiaTheme="minorEastAsia"/>
                <w:sz w:val="20"/>
              </w:rPr>
              <w:t xml:space="preserve">that are </w:t>
            </w:r>
            <w:r w:rsidRPr="00357DBF">
              <w:rPr>
                <w:rFonts w:ascii="Arial" w:eastAsiaTheme="minorEastAsia"/>
                <w:sz w:val="20"/>
              </w:rPr>
              <w:t xml:space="preserve">to be </w:t>
            </w:r>
            <w:r w:rsidR="00627E3F">
              <w:rPr>
                <w:rFonts w:ascii="Arial" w:eastAsiaTheme="minorEastAsia"/>
                <w:sz w:val="20"/>
              </w:rPr>
              <w:t>transferred from</w:t>
            </w:r>
            <w:r w:rsidRPr="00357DBF">
              <w:rPr>
                <w:rFonts w:ascii="Arial" w:eastAsiaTheme="minorEastAsia"/>
                <w:sz w:val="20"/>
              </w:rPr>
              <w:t xml:space="preserve"> state agencies to the State Library. Gives the</w:t>
            </w:r>
            <w:r w:rsidR="00627E3F">
              <w:rPr>
                <w:rFonts w:ascii="Arial" w:eastAsiaTheme="minorEastAsia"/>
                <w:sz w:val="20"/>
              </w:rPr>
              <w:t xml:space="preserve"> State Library</w:t>
            </w:r>
            <w:r w:rsidRPr="00357DBF">
              <w:rPr>
                <w:rFonts w:ascii="Arial" w:eastAsiaTheme="minorEastAsia"/>
                <w:sz w:val="20"/>
              </w:rPr>
              <w:t xml:space="preserve"> foundation the choice to choose an independent auditor to do its annual audits. Repeals the annual appropriation to the Indiana Academy of Science and changes the publisher from ICPR to Indiana Academy of Science</w:t>
            </w:r>
            <w:r w:rsidRPr="00627E3F">
              <w:rPr>
                <w:rFonts w:ascii="Arial" w:eastAsiaTheme="minorEastAsia"/>
                <w:sz w:val="20"/>
                <w:szCs w:val="20"/>
              </w:rPr>
              <w:t xml:space="preserve">. </w:t>
            </w:r>
            <w:r w:rsidR="00627E3F" w:rsidRPr="00627E3F">
              <w:rPr>
                <w:rFonts w:ascii="Arial" w:hAnsi="Arial" w:cs="Arial"/>
                <w:sz w:val="20"/>
                <w:szCs w:val="20"/>
                <w:shd w:val="clear" w:color="auto" w:fill="FFFFFF"/>
              </w:rPr>
              <w:t>Changes various copy requirements concerning the Indiana Academy of Science's reports. Repeals the annual appropriation for the printing of the proceedings and papers of the Indiana Academy of Science.</w:t>
            </w:r>
          </w:p>
          <w:p w:rsidR="00BD5512" w:rsidRDefault="00BD5512" w:rsidP="00BD5512">
            <w:pPr>
              <w:pStyle w:val="TableContents"/>
              <w:rPr>
                <w:rFonts w:ascii="Arial" w:eastAsiaTheme="minorEastAsia"/>
                <w:sz w:val="20"/>
              </w:rPr>
            </w:pPr>
          </w:p>
          <w:p w:rsidR="00BD5512" w:rsidRDefault="00BD5512" w:rsidP="00BD5512">
            <w:pPr>
              <w:pStyle w:val="TableContents"/>
              <w:rPr>
                <w:rFonts w:ascii="Arial" w:eastAsiaTheme="minorEastAsia"/>
                <w:sz w:val="20"/>
              </w:rPr>
            </w:pPr>
            <w:r w:rsidRPr="002632E0">
              <w:rPr>
                <w:rFonts w:ascii="Arial" w:eastAsiaTheme="minorEastAsia"/>
                <w:sz w:val="20"/>
              </w:rPr>
              <w:t>Repeals the requirement that the state offer active and retired employee health insurance coverage</w:t>
            </w:r>
            <w:r>
              <w:rPr>
                <w:rFonts w:ascii="Arial" w:eastAsiaTheme="minorEastAsia"/>
                <w:sz w:val="20"/>
              </w:rPr>
              <w:t xml:space="preserve"> for local government employers.</w:t>
            </w:r>
          </w:p>
          <w:p w:rsidR="00627E3F" w:rsidRPr="00627E3F" w:rsidRDefault="00627E3F" w:rsidP="00BD5512">
            <w:pPr>
              <w:pStyle w:val="TableContents"/>
              <w:rPr>
                <w:rFonts w:ascii="Arial" w:eastAsiaTheme="minorEastAsia"/>
                <w:sz w:val="20"/>
                <w:szCs w:val="20"/>
              </w:rPr>
            </w:pPr>
          </w:p>
          <w:p w:rsidR="00627E3F" w:rsidRPr="00627E3F" w:rsidRDefault="00627E3F" w:rsidP="00BD5512">
            <w:pPr>
              <w:pStyle w:val="TableContents"/>
              <w:rPr>
                <w:rFonts w:ascii="Arial" w:eastAsiaTheme="minorEastAsia"/>
                <w:sz w:val="20"/>
                <w:szCs w:val="20"/>
              </w:rPr>
            </w:pPr>
            <w:r w:rsidRPr="00627E3F">
              <w:rPr>
                <w:rFonts w:ascii="Arial" w:hAnsi="Arial" w:cs="Arial"/>
                <w:sz w:val="20"/>
                <w:szCs w:val="20"/>
                <w:shd w:val="clear" w:color="auto" w:fill="FFFFFF"/>
              </w:rPr>
              <w:t>Repeals the requirement that the state provide a retiree health benefit plan to state employees after they become eligible for Medicare coverage.</w:t>
            </w:r>
          </w:p>
          <w:p w:rsidR="00BD5512" w:rsidRPr="00627E3F" w:rsidRDefault="00BD5512" w:rsidP="00BD5512">
            <w:pPr>
              <w:pStyle w:val="TableContents"/>
              <w:rPr>
                <w:rFonts w:eastAsiaTheme="minorEastAsia"/>
                <w:sz w:val="20"/>
                <w:szCs w:val="20"/>
              </w:rPr>
            </w:pPr>
          </w:p>
          <w:p w:rsidR="00627E3F" w:rsidRPr="00627E3F" w:rsidRDefault="00627E3F" w:rsidP="00BD5512">
            <w:pPr>
              <w:pStyle w:val="TableContents"/>
              <w:rPr>
                <w:rFonts w:eastAsiaTheme="minorEastAsia"/>
                <w:sz w:val="20"/>
                <w:szCs w:val="20"/>
              </w:rPr>
            </w:pPr>
            <w:r w:rsidRPr="00627E3F">
              <w:rPr>
                <w:rFonts w:ascii="Arial" w:hAnsi="Arial" w:cs="Arial"/>
                <w:sz w:val="20"/>
                <w:szCs w:val="20"/>
                <w:shd w:val="clear" w:color="auto" w:fill="FFFFFF"/>
              </w:rPr>
              <w:t>Repeals the mandatory contribution by state employees at retirement of unused vacation leave to the PERF 401(h) retirement medical benefits account.</w:t>
            </w:r>
            <w:r w:rsidRPr="00627E3F">
              <w:rPr>
                <w:rStyle w:val="apple-converted-space"/>
                <w:rFonts w:ascii="Arial" w:hAnsi="Arial" w:cs="Arial"/>
                <w:sz w:val="20"/>
                <w:szCs w:val="20"/>
                <w:shd w:val="clear" w:color="auto" w:fill="FFFFFF"/>
              </w:rPr>
              <w:t> </w:t>
            </w:r>
          </w:p>
          <w:p w:rsidR="00627E3F" w:rsidRDefault="00627E3F" w:rsidP="00BD5512">
            <w:pPr>
              <w:pStyle w:val="TableContents"/>
              <w:rPr>
                <w:rFonts w:ascii="Arial" w:eastAsiaTheme="minorEastAsia" w:hAnsi="Arial" w:cs="Arial"/>
                <w:sz w:val="20"/>
                <w:szCs w:val="20"/>
              </w:rPr>
            </w:pPr>
          </w:p>
          <w:p w:rsidR="00627E3F" w:rsidRDefault="00627E3F" w:rsidP="00BD5512">
            <w:pPr>
              <w:pStyle w:val="TableContents"/>
              <w:rPr>
                <w:rFonts w:ascii="Arial" w:eastAsiaTheme="minorEastAsia" w:hAnsi="Arial" w:cs="Arial"/>
                <w:sz w:val="20"/>
                <w:szCs w:val="20"/>
              </w:rPr>
            </w:pPr>
            <w:r w:rsidRPr="00757063">
              <w:rPr>
                <w:rFonts w:ascii="Arial" w:eastAsiaTheme="minorEastAsia"/>
                <w:b/>
                <w:sz w:val="20"/>
              </w:rPr>
              <w:t>Link to Enrolled Act:</w:t>
            </w:r>
            <w:r w:rsidRPr="00801D8B">
              <w:t xml:space="preserve"> </w:t>
            </w:r>
            <w:hyperlink r:id="rId16" w:history="1">
              <w:r w:rsidRPr="00CC1D17">
                <w:rPr>
                  <w:rStyle w:val="Hyperlink"/>
                  <w:rFonts w:ascii="Arial" w:eastAsiaTheme="minorEastAsia" w:hAnsi="Arial" w:cs="Arial"/>
                  <w:sz w:val="20"/>
                  <w:szCs w:val="20"/>
                </w:rPr>
                <w:t>http://iga.in.gov/static-</w:t>
              </w:r>
              <w:r w:rsidRPr="00CC1D17">
                <w:rPr>
                  <w:rStyle w:val="Hyperlink"/>
                  <w:rFonts w:ascii="Arial" w:eastAsiaTheme="minorEastAsia" w:hAnsi="Arial" w:cs="Arial"/>
                  <w:sz w:val="20"/>
                  <w:szCs w:val="20"/>
                </w:rPr>
                <w:lastRenderedPageBreak/>
                <w:t>documents/a/7/0/7/a7076f4b/SB0225.05.ENRS.pdf</w:t>
              </w:r>
            </w:hyperlink>
          </w:p>
          <w:p w:rsidR="00627E3F" w:rsidRDefault="00627E3F" w:rsidP="00BD5512">
            <w:pPr>
              <w:pStyle w:val="TableContents"/>
              <w:rPr>
                <w:rFonts w:ascii="Arial" w:eastAsiaTheme="minorEastAsia" w:hAnsi="Arial" w:cs="Arial"/>
                <w:sz w:val="20"/>
                <w:szCs w:val="20"/>
              </w:rPr>
            </w:pPr>
          </w:p>
          <w:p w:rsidR="00BD5512" w:rsidRPr="00B35519" w:rsidRDefault="00BD5512" w:rsidP="00BD5512">
            <w:pPr>
              <w:pStyle w:val="TableContents"/>
              <w:rPr>
                <w:rFonts w:ascii="Arial" w:eastAsiaTheme="minorEastAsia"/>
                <w:b/>
                <w:sz w:val="20"/>
              </w:rPr>
            </w:pPr>
          </w:p>
        </w:tc>
        <w:tc>
          <w:tcPr>
            <w:tcW w:w="2970" w:type="dxa"/>
            <w:tcBorders>
              <w:top w:val="nil"/>
              <w:left w:val="single" w:sz="2" w:space="0" w:color="000000"/>
              <w:bottom w:val="single" w:sz="2" w:space="0" w:color="000000"/>
              <w:right w:val="single" w:sz="2" w:space="0" w:color="000000"/>
            </w:tcBorders>
            <w:shd w:val="clear" w:color="auto" w:fill="auto"/>
          </w:tcPr>
          <w:p w:rsidR="00AC3749" w:rsidRDefault="00AC3749" w:rsidP="00E7165A">
            <w:pPr>
              <w:pStyle w:val="TableContents"/>
              <w:rPr>
                <w:rFonts w:ascii="Arial" w:eastAsiaTheme="minorEastAsia"/>
                <w:sz w:val="20"/>
              </w:rPr>
            </w:pPr>
            <w:r>
              <w:rPr>
                <w:rFonts w:ascii="Arial" w:eastAsiaTheme="minorEastAsia"/>
                <w:sz w:val="20"/>
              </w:rPr>
              <w:lastRenderedPageBreak/>
              <w:t xml:space="preserve"> </w:t>
            </w:r>
          </w:p>
          <w:p w:rsidR="002C2779" w:rsidRDefault="00AC3749" w:rsidP="00E7165A">
            <w:pPr>
              <w:pStyle w:val="TableContents"/>
              <w:rPr>
                <w:rFonts w:ascii="Arial" w:eastAsiaTheme="minorEastAsia"/>
                <w:b/>
                <w:sz w:val="20"/>
              </w:rPr>
            </w:pPr>
            <w:r w:rsidRPr="00AC3749">
              <w:rPr>
                <w:rFonts w:ascii="Arial" w:eastAsiaTheme="minorEastAsia"/>
                <w:b/>
                <w:sz w:val="20"/>
              </w:rPr>
              <w:t>Affects the State Library</w:t>
            </w:r>
          </w:p>
          <w:p w:rsidR="00AC3749" w:rsidRDefault="00AC3749" w:rsidP="00E7165A">
            <w:pPr>
              <w:pStyle w:val="TableContents"/>
              <w:rPr>
                <w:rFonts w:ascii="Arial" w:eastAsiaTheme="minorEastAsia"/>
                <w:b/>
                <w:sz w:val="20"/>
              </w:rPr>
            </w:pPr>
          </w:p>
          <w:p w:rsidR="00AC3749" w:rsidRDefault="00AC3749" w:rsidP="00E7165A">
            <w:pPr>
              <w:pStyle w:val="TableContents"/>
              <w:rPr>
                <w:rFonts w:ascii="Arial" w:eastAsiaTheme="minorEastAsia"/>
                <w:b/>
                <w:sz w:val="20"/>
              </w:rPr>
            </w:pPr>
          </w:p>
          <w:p w:rsidR="00AC3749" w:rsidRDefault="00AC3749" w:rsidP="00E7165A">
            <w:pPr>
              <w:pStyle w:val="TableContents"/>
              <w:rPr>
                <w:rFonts w:ascii="Arial" w:eastAsiaTheme="minorEastAsia"/>
                <w:b/>
                <w:sz w:val="20"/>
              </w:rPr>
            </w:pPr>
          </w:p>
          <w:p w:rsidR="00AC3749" w:rsidRDefault="00AC3749" w:rsidP="00E7165A">
            <w:pPr>
              <w:pStyle w:val="TableContents"/>
              <w:rPr>
                <w:rFonts w:ascii="Arial" w:eastAsiaTheme="minorEastAsia"/>
                <w:b/>
                <w:sz w:val="20"/>
              </w:rPr>
            </w:pPr>
          </w:p>
          <w:p w:rsidR="00AC3749" w:rsidRDefault="00AC3749" w:rsidP="00E7165A">
            <w:pPr>
              <w:pStyle w:val="TableContents"/>
              <w:rPr>
                <w:rFonts w:ascii="Arial" w:eastAsiaTheme="minorEastAsia"/>
                <w:b/>
                <w:sz w:val="20"/>
              </w:rPr>
            </w:pPr>
          </w:p>
          <w:p w:rsidR="00AC3749" w:rsidRDefault="00AC3749" w:rsidP="00E7165A">
            <w:pPr>
              <w:pStyle w:val="TableContents"/>
              <w:rPr>
                <w:rFonts w:ascii="Arial" w:eastAsiaTheme="minorEastAsia"/>
                <w:b/>
                <w:sz w:val="20"/>
              </w:rPr>
            </w:pPr>
          </w:p>
          <w:p w:rsidR="00AC3749" w:rsidRDefault="00AC3749" w:rsidP="00E7165A">
            <w:pPr>
              <w:pStyle w:val="TableContents"/>
              <w:rPr>
                <w:rFonts w:ascii="Arial" w:eastAsiaTheme="minorEastAsia"/>
                <w:b/>
                <w:sz w:val="20"/>
              </w:rPr>
            </w:pPr>
          </w:p>
          <w:p w:rsidR="00AC3749" w:rsidRDefault="00AC3749" w:rsidP="00E7165A">
            <w:pPr>
              <w:pStyle w:val="TableContents"/>
              <w:rPr>
                <w:rFonts w:ascii="Arial" w:eastAsiaTheme="minorEastAsia"/>
                <w:b/>
                <w:sz w:val="20"/>
              </w:rPr>
            </w:pPr>
          </w:p>
          <w:p w:rsidR="00AC3749" w:rsidRDefault="00AC3749" w:rsidP="00E7165A">
            <w:pPr>
              <w:pStyle w:val="TableContents"/>
              <w:rPr>
                <w:rFonts w:ascii="Arial" w:eastAsiaTheme="minorEastAsia"/>
                <w:b/>
                <w:sz w:val="20"/>
              </w:rPr>
            </w:pPr>
            <w:r>
              <w:rPr>
                <w:rFonts w:ascii="Arial" w:eastAsiaTheme="minorEastAsia"/>
                <w:b/>
                <w:sz w:val="20"/>
              </w:rPr>
              <w:t>Affects public libraries</w:t>
            </w:r>
          </w:p>
          <w:p w:rsidR="00AC3749" w:rsidRDefault="00AC3749" w:rsidP="00E7165A">
            <w:pPr>
              <w:pStyle w:val="TableContents"/>
              <w:rPr>
                <w:rFonts w:ascii="Arial" w:eastAsiaTheme="minorEastAsia"/>
                <w:b/>
                <w:sz w:val="20"/>
              </w:rPr>
            </w:pPr>
          </w:p>
          <w:p w:rsidR="00AC3749" w:rsidRDefault="00AC3749" w:rsidP="00E7165A">
            <w:pPr>
              <w:pStyle w:val="TableContents"/>
              <w:rPr>
                <w:rFonts w:ascii="Arial" w:eastAsiaTheme="minorEastAsia"/>
                <w:b/>
                <w:sz w:val="20"/>
              </w:rPr>
            </w:pPr>
          </w:p>
          <w:p w:rsidR="00AC3749" w:rsidRDefault="00AC3749" w:rsidP="00E7165A">
            <w:pPr>
              <w:pStyle w:val="TableContents"/>
              <w:rPr>
                <w:rFonts w:ascii="Arial" w:eastAsiaTheme="minorEastAsia"/>
                <w:b/>
                <w:sz w:val="20"/>
              </w:rPr>
            </w:pPr>
            <w:r>
              <w:rPr>
                <w:rFonts w:ascii="Arial" w:eastAsiaTheme="minorEastAsia"/>
                <w:b/>
                <w:sz w:val="20"/>
              </w:rPr>
              <w:t>Affects State employees</w:t>
            </w:r>
          </w:p>
          <w:p w:rsidR="00AC3749" w:rsidRDefault="00AC3749" w:rsidP="00E7165A">
            <w:pPr>
              <w:pStyle w:val="TableContents"/>
              <w:rPr>
                <w:rFonts w:ascii="Arial" w:eastAsiaTheme="minorEastAsia"/>
                <w:b/>
                <w:sz w:val="20"/>
              </w:rPr>
            </w:pPr>
          </w:p>
          <w:p w:rsidR="00AC3749" w:rsidRDefault="00AC3749" w:rsidP="00E7165A">
            <w:pPr>
              <w:pStyle w:val="TableContents"/>
              <w:rPr>
                <w:rFonts w:ascii="Arial" w:eastAsiaTheme="minorEastAsia"/>
                <w:b/>
                <w:sz w:val="20"/>
              </w:rPr>
            </w:pPr>
          </w:p>
          <w:p w:rsidR="00AC3749" w:rsidRPr="00AC3749" w:rsidRDefault="00AC3749" w:rsidP="00E7165A">
            <w:pPr>
              <w:pStyle w:val="TableContents"/>
              <w:rPr>
                <w:rFonts w:ascii="Arial" w:eastAsiaTheme="minorEastAsia"/>
                <w:b/>
                <w:sz w:val="20"/>
              </w:rPr>
            </w:pPr>
            <w:r>
              <w:rPr>
                <w:rFonts w:ascii="Arial" w:eastAsiaTheme="minorEastAsia"/>
                <w:b/>
                <w:sz w:val="20"/>
              </w:rPr>
              <w:t>Affects State employees</w:t>
            </w:r>
          </w:p>
        </w:tc>
        <w:tc>
          <w:tcPr>
            <w:tcW w:w="1710" w:type="dxa"/>
            <w:tcBorders>
              <w:top w:val="nil"/>
              <w:left w:val="single" w:sz="2" w:space="0" w:color="000000"/>
              <w:bottom w:val="single" w:sz="2" w:space="0" w:color="000000"/>
              <w:right w:val="single" w:sz="2" w:space="0" w:color="000000"/>
            </w:tcBorders>
          </w:tcPr>
          <w:p w:rsidR="002C2779" w:rsidRDefault="002C2779" w:rsidP="00324C09">
            <w:pPr>
              <w:pStyle w:val="TableContents"/>
              <w:jc w:val="center"/>
              <w:rPr>
                <w:rFonts w:ascii="Arial" w:eastAsiaTheme="minorEastAsia"/>
                <w:b/>
                <w:sz w:val="20"/>
              </w:rPr>
            </w:pPr>
          </w:p>
          <w:p w:rsidR="00AC3749" w:rsidRDefault="00AC3749" w:rsidP="00324C09">
            <w:pPr>
              <w:pStyle w:val="TableContents"/>
              <w:jc w:val="center"/>
              <w:rPr>
                <w:rFonts w:ascii="Arial" w:eastAsiaTheme="minorEastAsia"/>
                <w:b/>
                <w:sz w:val="20"/>
              </w:rPr>
            </w:pPr>
            <w:r>
              <w:rPr>
                <w:rFonts w:ascii="Arial" w:eastAsiaTheme="minorEastAsia"/>
                <w:b/>
                <w:sz w:val="20"/>
              </w:rPr>
              <w:t>July 1, 2014</w:t>
            </w:r>
          </w:p>
          <w:p w:rsidR="00AC3749" w:rsidRDefault="00AC3749" w:rsidP="00324C09">
            <w:pPr>
              <w:pStyle w:val="TableContents"/>
              <w:jc w:val="center"/>
              <w:rPr>
                <w:rFonts w:ascii="Arial" w:eastAsiaTheme="minorEastAsia"/>
                <w:b/>
                <w:sz w:val="20"/>
              </w:rPr>
            </w:pPr>
          </w:p>
          <w:p w:rsidR="00AC3749" w:rsidRDefault="00AC3749" w:rsidP="00324C09">
            <w:pPr>
              <w:pStyle w:val="TableContents"/>
              <w:jc w:val="center"/>
              <w:rPr>
                <w:rFonts w:ascii="Arial" w:eastAsiaTheme="minorEastAsia"/>
                <w:b/>
                <w:sz w:val="20"/>
              </w:rPr>
            </w:pPr>
          </w:p>
          <w:p w:rsidR="00AC3749" w:rsidRDefault="00AC3749" w:rsidP="00324C09">
            <w:pPr>
              <w:pStyle w:val="TableContents"/>
              <w:jc w:val="center"/>
              <w:rPr>
                <w:rFonts w:ascii="Arial" w:eastAsiaTheme="minorEastAsia"/>
                <w:b/>
                <w:sz w:val="20"/>
              </w:rPr>
            </w:pPr>
          </w:p>
          <w:p w:rsidR="00AC3749" w:rsidRDefault="00AC3749" w:rsidP="00324C09">
            <w:pPr>
              <w:pStyle w:val="TableContents"/>
              <w:jc w:val="center"/>
              <w:rPr>
                <w:rFonts w:ascii="Arial" w:eastAsiaTheme="minorEastAsia"/>
                <w:b/>
                <w:sz w:val="20"/>
              </w:rPr>
            </w:pPr>
          </w:p>
          <w:p w:rsidR="00AC3749" w:rsidRDefault="00AC3749" w:rsidP="00324C09">
            <w:pPr>
              <w:pStyle w:val="TableContents"/>
              <w:jc w:val="center"/>
              <w:rPr>
                <w:rFonts w:ascii="Arial" w:eastAsiaTheme="minorEastAsia"/>
                <w:b/>
                <w:sz w:val="20"/>
              </w:rPr>
            </w:pPr>
          </w:p>
          <w:p w:rsidR="00AC3749" w:rsidRDefault="00AC3749" w:rsidP="00324C09">
            <w:pPr>
              <w:pStyle w:val="TableContents"/>
              <w:jc w:val="center"/>
              <w:rPr>
                <w:rFonts w:ascii="Arial" w:eastAsiaTheme="minorEastAsia"/>
                <w:b/>
                <w:sz w:val="20"/>
              </w:rPr>
            </w:pPr>
          </w:p>
          <w:p w:rsidR="00AC3749" w:rsidRDefault="00AC3749" w:rsidP="00324C09">
            <w:pPr>
              <w:pStyle w:val="TableContents"/>
              <w:jc w:val="center"/>
              <w:rPr>
                <w:rFonts w:ascii="Arial" w:eastAsiaTheme="minorEastAsia"/>
                <w:b/>
                <w:sz w:val="20"/>
              </w:rPr>
            </w:pPr>
          </w:p>
          <w:p w:rsidR="00AC3749" w:rsidRDefault="00AC3749" w:rsidP="00324C09">
            <w:pPr>
              <w:pStyle w:val="TableContents"/>
              <w:jc w:val="center"/>
              <w:rPr>
                <w:rFonts w:ascii="Arial" w:eastAsiaTheme="minorEastAsia"/>
                <w:b/>
                <w:sz w:val="20"/>
              </w:rPr>
            </w:pPr>
          </w:p>
          <w:p w:rsidR="00AC3749" w:rsidRDefault="00AC3749" w:rsidP="00324C09">
            <w:pPr>
              <w:pStyle w:val="TableContents"/>
              <w:jc w:val="center"/>
              <w:rPr>
                <w:rFonts w:ascii="Arial" w:eastAsiaTheme="minorEastAsia"/>
                <w:b/>
                <w:sz w:val="20"/>
              </w:rPr>
            </w:pPr>
            <w:r>
              <w:rPr>
                <w:rFonts w:ascii="Arial" w:eastAsiaTheme="minorEastAsia"/>
                <w:b/>
                <w:sz w:val="20"/>
              </w:rPr>
              <w:t>July 1, 2014</w:t>
            </w:r>
          </w:p>
          <w:p w:rsidR="00AC3749" w:rsidRDefault="00AC3749" w:rsidP="00324C09">
            <w:pPr>
              <w:pStyle w:val="TableContents"/>
              <w:jc w:val="center"/>
              <w:rPr>
                <w:rFonts w:ascii="Arial" w:eastAsiaTheme="minorEastAsia"/>
                <w:b/>
                <w:sz w:val="20"/>
              </w:rPr>
            </w:pPr>
          </w:p>
          <w:p w:rsidR="00AC3749" w:rsidRDefault="00AC3749" w:rsidP="00324C09">
            <w:pPr>
              <w:pStyle w:val="TableContents"/>
              <w:jc w:val="center"/>
              <w:rPr>
                <w:rFonts w:ascii="Arial" w:eastAsiaTheme="minorEastAsia"/>
                <w:b/>
                <w:sz w:val="20"/>
              </w:rPr>
            </w:pPr>
          </w:p>
          <w:p w:rsidR="00AC3749" w:rsidRDefault="00AC3749" w:rsidP="00324C09">
            <w:pPr>
              <w:pStyle w:val="TableContents"/>
              <w:jc w:val="center"/>
              <w:rPr>
                <w:rFonts w:ascii="Arial" w:eastAsiaTheme="minorEastAsia"/>
                <w:b/>
                <w:sz w:val="20"/>
              </w:rPr>
            </w:pPr>
            <w:r>
              <w:rPr>
                <w:rFonts w:ascii="Arial" w:eastAsiaTheme="minorEastAsia"/>
                <w:b/>
                <w:sz w:val="20"/>
              </w:rPr>
              <w:t>July 1, 2014</w:t>
            </w:r>
          </w:p>
          <w:p w:rsidR="00AC3749" w:rsidRDefault="00AC3749" w:rsidP="00324C09">
            <w:pPr>
              <w:pStyle w:val="TableContents"/>
              <w:jc w:val="center"/>
              <w:rPr>
                <w:rFonts w:ascii="Arial" w:eastAsiaTheme="minorEastAsia"/>
                <w:b/>
                <w:sz w:val="20"/>
              </w:rPr>
            </w:pPr>
          </w:p>
          <w:p w:rsidR="00AC3749" w:rsidRDefault="00AC3749" w:rsidP="00324C09">
            <w:pPr>
              <w:pStyle w:val="TableContents"/>
              <w:jc w:val="center"/>
              <w:rPr>
                <w:rFonts w:ascii="Arial" w:eastAsiaTheme="minorEastAsia"/>
                <w:b/>
                <w:sz w:val="20"/>
              </w:rPr>
            </w:pPr>
          </w:p>
          <w:p w:rsidR="00AC3749" w:rsidRPr="00324C09" w:rsidRDefault="00C97A39" w:rsidP="00324C09">
            <w:pPr>
              <w:pStyle w:val="TableContents"/>
              <w:jc w:val="center"/>
              <w:rPr>
                <w:rFonts w:ascii="Arial" w:eastAsiaTheme="minorEastAsia"/>
                <w:b/>
                <w:sz w:val="20"/>
              </w:rPr>
            </w:pPr>
            <w:r>
              <w:rPr>
                <w:rFonts w:ascii="Arial" w:eastAsiaTheme="minorEastAsia"/>
                <w:b/>
                <w:sz w:val="20"/>
              </w:rPr>
              <w:t>June 30, 2014</w:t>
            </w:r>
          </w:p>
        </w:tc>
      </w:tr>
      <w:tr w:rsidR="00690D4D" w:rsidRPr="00357DBF" w:rsidTr="00690D4D">
        <w:tc>
          <w:tcPr>
            <w:tcW w:w="1518" w:type="dxa"/>
            <w:tcBorders>
              <w:top w:val="nil"/>
              <w:left w:val="single" w:sz="2" w:space="0" w:color="000000"/>
              <w:bottom w:val="single" w:sz="2" w:space="0" w:color="000000"/>
              <w:right w:val="nil"/>
            </w:tcBorders>
            <w:shd w:val="clear" w:color="auto" w:fill="auto"/>
          </w:tcPr>
          <w:p w:rsidR="00BD5512" w:rsidRDefault="00BD5512" w:rsidP="00324C09">
            <w:pPr>
              <w:pStyle w:val="TableContents"/>
              <w:jc w:val="center"/>
              <w:rPr>
                <w:rFonts w:ascii="Arial" w:eastAsiaTheme="minorEastAsia" w:hAnsi="Arial" w:cs="Arial"/>
                <w:b/>
                <w:sz w:val="20"/>
                <w:szCs w:val="20"/>
              </w:rPr>
            </w:pPr>
          </w:p>
          <w:p w:rsidR="00690D4D" w:rsidRDefault="00690D4D" w:rsidP="00324C09">
            <w:pPr>
              <w:pStyle w:val="TableContents"/>
              <w:jc w:val="center"/>
              <w:rPr>
                <w:rFonts w:ascii="Arial" w:eastAsiaTheme="minorEastAsia" w:hAnsi="Arial" w:cs="Arial"/>
                <w:b/>
                <w:sz w:val="20"/>
                <w:szCs w:val="20"/>
              </w:rPr>
            </w:pPr>
            <w:r w:rsidRPr="005C536A">
              <w:rPr>
                <w:rFonts w:ascii="Arial" w:eastAsiaTheme="minorEastAsia" w:hAnsi="Arial" w:cs="Arial"/>
                <w:b/>
                <w:sz w:val="20"/>
                <w:szCs w:val="20"/>
              </w:rPr>
              <w:t>SR 48</w:t>
            </w:r>
          </w:p>
          <w:p w:rsidR="00690D4D" w:rsidRDefault="00690D4D" w:rsidP="00324C09">
            <w:pPr>
              <w:pStyle w:val="TableContents"/>
              <w:jc w:val="center"/>
              <w:rPr>
                <w:rFonts w:ascii="Arial" w:eastAsiaTheme="minorEastAsia" w:hAnsi="Arial" w:cs="Arial"/>
                <w:b/>
                <w:sz w:val="20"/>
                <w:szCs w:val="20"/>
              </w:rPr>
            </w:pPr>
          </w:p>
          <w:p w:rsidR="00690D4D" w:rsidRDefault="00690D4D" w:rsidP="00324C09">
            <w:pPr>
              <w:pStyle w:val="TableContents"/>
              <w:jc w:val="center"/>
              <w:rPr>
                <w:rFonts w:ascii="Arial" w:eastAsiaTheme="minorEastAsia" w:hAnsi="Arial" w:cs="Arial"/>
                <w:b/>
                <w:sz w:val="20"/>
                <w:szCs w:val="20"/>
              </w:rPr>
            </w:pPr>
            <w:r>
              <w:rPr>
                <w:rFonts w:ascii="Arial" w:eastAsiaTheme="minorEastAsia" w:hAnsi="Arial" w:cs="Arial"/>
                <w:b/>
                <w:sz w:val="20"/>
                <w:szCs w:val="20"/>
              </w:rPr>
              <w:t>Authors:</w:t>
            </w:r>
          </w:p>
          <w:p w:rsidR="00690D4D" w:rsidRPr="00C6287D" w:rsidRDefault="00690D4D" w:rsidP="00324C09">
            <w:pPr>
              <w:pStyle w:val="TableContents"/>
              <w:jc w:val="center"/>
              <w:rPr>
                <w:rFonts w:eastAsiaTheme="minorEastAsia"/>
                <w:sz w:val="16"/>
                <w:szCs w:val="16"/>
              </w:rPr>
            </w:pPr>
            <w:proofErr w:type="spellStart"/>
            <w:r w:rsidRPr="00C6287D">
              <w:rPr>
                <w:rFonts w:eastAsiaTheme="minorEastAsia"/>
                <w:sz w:val="16"/>
                <w:szCs w:val="16"/>
              </w:rPr>
              <w:t>Sen.Dennis</w:t>
            </w:r>
            <w:proofErr w:type="spellEnd"/>
            <w:r w:rsidRPr="00C6287D">
              <w:rPr>
                <w:rFonts w:eastAsiaTheme="minorEastAsia"/>
                <w:sz w:val="16"/>
                <w:szCs w:val="16"/>
              </w:rPr>
              <w:t xml:space="preserve"> Kruse(R)</w:t>
            </w:r>
          </w:p>
          <w:p w:rsidR="00690D4D" w:rsidRPr="000118DA" w:rsidRDefault="00690D4D" w:rsidP="00324C09">
            <w:pPr>
              <w:pStyle w:val="TableContents"/>
              <w:jc w:val="center"/>
              <w:rPr>
                <w:rFonts w:eastAsiaTheme="minorEastAsia"/>
                <w:sz w:val="20"/>
                <w:szCs w:val="20"/>
              </w:rPr>
            </w:pPr>
            <w:r w:rsidRPr="00C6287D">
              <w:rPr>
                <w:rFonts w:eastAsiaTheme="minorEastAsia"/>
                <w:sz w:val="16"/>
                <w:szCs w:val="16"/>
              </w:rPr>
              <w:t xml:space="preserve">Sen. John </w:t>
            </w:r>
            <w:proofErr w:type="spellStart"/>
            <w:r w:rsidRPr="00C6287D">
              <w:rPr>
                <w:rFonts w:eastAsiaTheme="minorEastAsia"/>
                <w:sz w:val="16"/>
                <w:szCs w:val="16"/>
              </w:rPr>
              <w:t>Broden</w:t>
            </w:r>
            <w:proofErr w:type="spellEnd"/>
            <w:r w:rsidRPr="00C6287D">
              <w:rPr>
                <w:rFonts w:eastAsiaTheme="minorEastAsia"/>
                <w:sz w:val="16"/>
                <w:szCs w:val="16"/>
              </w:rPr>
              <w:t>(D)</w:t>
            </w:r>
          </w:p>
        </w:tc>
        <w:tc>
          <w:tcPr>
            <w:tcW w:w="8010" w:type="dxa"/>
            <w:tcBorders>
              <w:top w:val="nil"/>
              <w:left w:val="single" w:sz="2" w:space="0" w:color="000000"/>
              <w:bottom w:val="single" w:sz="2" w:space="0" w:color="000000"/>
              <w:right w:val="nil"/>
            </w:tcBorders>
            <w:shd w:val="clear" w:color="auto" w:fill="FFFFFF" w:themeFill="background1"/>
          </w:tcPr>
          <w:p w:rsidR="00BD5512" w:rsidRDefault="00BD5512" w:rsidP="00324C09">
            <w:pPr>
              <w:pStyle w:val="TableContents"/>
              <w:rPr>
                <w:rFonts w:ascii="Arial" w:eastAsiaTheme="minorEastAsia"/>
                <w:sz w:val="20"/>
              </w:rPr>
            </w:pPr>
          </w:p>
          <w:p w:rsidR="00B35519" w:rsidRPr="00C45D41" w:rsidRDefault="00B35519" w:rsidP="00324C09">
            <w:pPr>
              <w:pStyle w:val="TableContents"/>
              <w:rPr>
                <w:rFonts w:ascii="Arial" w:hAnsi="Arial" w:cs="Arial"/>
                <w:color w:val="333333"/>
                <w:sz w:val="20"/>
                <w:szCs w:val="20"/>
                <w:shd w:val="clear" w:color="auto" w:fill="CCFFCC"/>
              </w:rPr>
            </w:pPr>
            <w:r>
              <w:rPr>
                <w:rFonts w:ascii="Arial" w:eastAsiaTheme="minorEastAsia"/>
                <w:sz w:val="20"/>
              </w:rPr>
              <w:t xml:space="preserve">Senate Resolution 48 </w:t>
            </w:r>
            <w:r w:rsidRPr="00C45D41">
              <w:rPr>
                <w:rFonts w:ascii="Arial" w:eastAsiaTheme="minorEastAsia"/>
                <w:sz w:val="20"/>
              </w:rPr>
              <w:t>recognizes the importance of broadband in schools and libraries.</w:t>
            </w:r>
          </w:p>
          <w:p w:rsidR="00C45D41" w:rsidRDefault="00C45D41" w:rsidP="00324C09">
            <w:pPr>
              <w:pStyle w:val="TableContents"/>
              <w:rPr>
                <w:rFonts w:ascii="Arial" w:eastAsiaTheme="minorEastAsia" w:hAnsi="Arial" w:cs="Arial"/>
                <w:sz w:val="20"/>
                <w:szCs w:val="20"/>
              </w:rPr>
            </w:pPr>
          </w:p>
          <w:p w:rsidR="00B35519" w:rsidRDefault="00C45D41" w:rsidP="00324C09">
            <w:pPr>
              <w:pStyle w:val="TableContents"/>
              <w:rPr>
                <w:rFonts w:ascii="Arial" w:eastAsiaTheme="minorEastAsia" w:hAnsi="Arial" w:cs="Arial"/>
                <w:sz w:val="20"/>
                <w:szCs w:val="20"/>
              </w:rPr>
            </w:pPr>
            <w:r>
              <w:rPr>
                <w:rFonts w:ascii="Arial" w:eastAsiaTheme="minorEastAsia" w:hAnsi="Arial" w:cs="Arial"/>
                <w:b/>
                <w:sz w:val="20"/>
                <w:szCs w:val="20"/>
              </w:rPr>
              <w:t xml:space="preserve">Link to Resolution: </w:t>
            </w:r>
            <w:hyperlink r:id="rId17" w:history="1">
              <w:r w:rsidRPr="00CC1D17">
                <w:rPr>
                  <w:rStyle w:val="Hyperlink"/>
                  <w:rFonts w:ascii="Arial" w:eastAsiaTheme="minorEastAsia" w:hAnsi="Arial" w:cs="Arial"/>
                  <w:sz w:val="20"/>
                  <w:szCs w:val="20"/>
                </w:rPr>
                <w:t>http://iga.in.gov/static-documents/9/a/9/1/9a91d852/SR0048.02.COMS.pdf</w:t>
              </w:r>
            </w:hyperlink>
          </w:p>
          <w:p w:rsidR="00C45D41" w:rsidRPr="00C45D41" w:rsidRDefault="00C45D41" w:rsidP="00324C09">
            <w:pPr>
              <w:pStyle w:val="TableContents"/>
              <w:rPr>
                <w:rFonts w:ascii="Arial" w:eastAsiaTheme="minorEastAsia" w:hAnsi="Arial" w:cs="Arial"/>
                <w:sz w:val="20"/>
                <w:szCs w:val="20"/>
              </w:rPr>
            </w:pPr>
          </w:p>
        </w:tc>
        <w:tc>
          <w:tcPr>
            <w:tcW w:w="2970" w:type="dxa"/>
            <w:tcBorders>
              <w:top w:val="nil"/>
              <w:left w:val="single" w:sz="2" w:space="0" w:color="000000"/>
              <w:bottom w:val="single" w:sz="2" w:space="0" w:color="000000"/>
              <w:right w:val="single" w:sz="2" w:space="0" w:color="000000"/>
            </w:tcBorders>
            <w:shd w:val="clear" w:color="auto" w:fill="auto"/>
          </w:tcPr>
          <w:p w:rsidR="00BD5512" w:rsidRDefault="00BD5512" w:rsidP="00E7165A">
            <w:pPr>
              <w:pStyle w:val="TableContents"/>
              <w:rPr>
                <w:rFonts w:ascii="Arial" w:eastAsiaTheme="minorEastAsia"/>
                <w:b/>
                <w:sz w:val="20"/>
              </w:rPr>
            </w:pPr>
          </w:p>
          <w:p w:rsidR="00690D4D" w:rsidRPr="00041D9E" w:rsidRDefault="00041D9E" w:rsidP="00E7165A">
            <w:pPr>
              <w:pStyle w:val="TableContents"/>
              <w:rPr>
                <w:rFonts w:ascii="Arial" w:eastAsiaTheme="minorEastAsia"/>
                <w:b/>
                <w:sz w:val="20"/>
              </w:rPr>
            </w:pPr>
            <w:r w:rsidRPr="00041D9E">
              <w:rPr>
                <w:rFonts w:ascii="Arial" w:eastAsiaTheme="minorEastAsia"/>
                <w:b/>
                <w:sz w:val="20"/>
              </w:rPr>
              <w:t>Applies to Public Libraries</w:t>
            </w:r>
          </w:p>
        </w:tc>
        <w:tc>
          <w:tcPr>
            <w:tcW w:w="1710" w:type="dxa"/>
            <w:tcBorders>
              <w:top w:val="nil"/>
              <w:left w:val="single" w:sz="2" w:space="0" w:color="000000"/>
              <w:bottom w:val="single" w:sz="2" w:space="0" w:color="000000"/>
              <w:right w:val="single" w:sz="2" w:space="0" w:color="000000"/>
            </w:tcBorders>
          </w:tcPr>
          <w:p w:rsidR="00BD5512" w:rsidRDefault="00BD5512" w:rsidP="00324C09">
            <w:pPr>
              <w:pStyle w:val="TableContents"/>
              <w:jc w:val="center"/>
              <w:rPr>
                <w:rFonts w:ascii="Arial" w:eastAsiaTheme="minorEastAsia"/>
                <w:b/>
                <w:sz w:val="20"/>
              </w:rPr>
            </w:pPr>
          </w:p>
          <w:p w:rsidR="00690D4D" w:rsidRPr="00324C09" w:rsidRDefault="00EE2ACC" w:rsidP="00324C09">
            <w:pPr>
              <w:pStyle w:val="TableContents"/>
              <w:jc w:val="center"/>
              <w:rPr>
                <w:rFonts w:ascii="Arial" w:eastAsiaTheme="minorEastAsia"/>
                <w:b/>
                <w:sz w:val="20"/>
              </w:rPr>
            </w:pPr>
            <w:r>
              <w:rPr>
                <w:rFonts w:ascii="Arial" w:eastAsiaTheme="minorEastAsia"/>
                <w:b/>
                <w:sz w:val="20"/>
              </w:rPr>
              <w:t>Upon Passage</w:t>
            </w:r>
          </w:p>
        </w:tc>
      </w:tr>
      <w:tr w:rsidR="00690D4D" w:rsidRPr="00357DBF" w:rsidTr="002C2779">
        <w:tc>
          <w:tcPr>
            <w:tcW w:w="1518" w:type="dxa"/>
            <w:tcBorders>
              <w:top w:val="nil"/>
              <w:left w:val="single" w:sz="2" w:space="0" w:color="000000"/>
              <w:bottom w:val="single" w:sz="2" w:space="0" w:color="000000"/>
              <w:right w:val="nil"/>
            </w:tcBorders>
            <w:shd w:val="clear" w:color="auto" w:fill="auto"/>
          </w:tcPr>
          <w:p w:rsidR="00BD5512" w:rsidRDefault="00BD5512" w:rsidP="00324C09">
            <w:pPr>
              <w:pStyle w:val="TableContents"/>
              <w:jc w:val="center"/>
              <w:rPr>
                <w:rFonts w:ascii="Arial" w:eastAsiaTheme="minorEastAsia" w:hAnsi="Arial" w:cs="Arial"/>
                <w:b/>
                <w:sz w:val="20"/>
                <w:szCs w:val="20"/>
              </w:rPr>
            </w:pPr>
          </w:p>
          <w:p w:rsidR="00690D4D" w:rsidRDefault="00690D4D" w:rsidP="00324C09">
            <w:pPr>
              <w:pStyle w:val="TableContents"/>
              <w:jc w:val="center"/>
              <w:rPr>
                <w:rFonts w:ascii="Arial" w:eastAsiaTheme="minorEastAsia" w:hAnsi="Arial" w:cs="Arial"/>
                <w:b/>
                <w:sz w:val="20"/>
                <w:szCs w:val="20"/>
              </w:rPr>
            </w:pPr>
            <w:r w:rsidRPr="005C536A">
              <w:rPr>
                <w:rFonts w:ascii="Arial" w:eastAsiaTheme="minorEastAsia" w:hAnsi="Arial" w:cs="Arial"/>
                <w:b/>
                <w:sz w:val="20"/>
                <w:szCs w:val="20"/>
              </w:rPr>
              <w:t>SR 49</w:t>
            </w:r>
          </w:p>
          <w:p w:rsidR="00690D4D" w:rsidRDefault="00690D4D" w:rsidP="00324C09">
            <w:pPr>
              <w:pStyle w:val="TableContents"/>
              <w:jc w:val="center"/>
              <w:rPr>
                <w:rFonts w:ascii="Arial" w:eastAsiaTheme="minorEastAsia" w:hAnsi="Arial" w:cs="Arial"/>
                <w:b/>
                <w:sz w:val="20"/>
                <w:szCs w:val="20"/>
              </w:rPr>
            </w:pPr>
          </w:p>
          <w:p w:rsidR="00690D4D" w:rsidRDefault="00690D4D" w:rsidP="00324C09">
            <w:pPr>
              <w:pStyle w:val="TableContents"/>
              <w:jc w:val="center"/>
              <w:rPr>
                <w:rFonts w:ascii="Arial" w:eastAsiaTheme="minorEastAsia" w:hAnsi="Arial" w:cs="Arial"/>
                <w:b/>
                <w:sz w:val="20"/>
                <w:szCs w:val="20"/>
              </w:rPr>
            </w:pPr>
            <w:r>
              <w:rPr>
                <w:rFonts w:ascii="Arial" w:eastAsiaTheme="minorEastAsia" w:hAnsi="Arial" w:cs="Arial"/>
                <w:b/>
                <w:sz w:val="20"/>
                <w:szCs w:val="20"/>
              </w:rPr>
              <w:t>Author:</w:t>
            </w:r>
          </w:p>
          <w:p w:rsidR="00690D4D" w:rsidRDefault="00690D4D" w:rsidP="00324C09">
            <w:pPr>
              <w:pStyle w:val="TableContents"/>
              <w:jc w:val="center"/>
              <w:rPr>
                <w:rFonts w:eastAsiaTheme="minorEastAsia"/>
                <w:sz w:val="16"/>
                <w:szCs w:val="16"/>
              </w:rPr>
            </w:pPr>
            <w:proofErr w:type="spellStart"/>
            <w:r w:rsidRPr="00C6287D">
              <w:rPr>
                <w:rFonts w:eastAsiaTheme="minorEastAsia"/>
                <w:sz w:val="16"/>
                <w:szCs w:val="16"/>
              </w:rPr>
              <w:t>Sen.Dennis</w:t>
            </w:r>
            <w:proofErr w:type="spellEnd"/>
            <w:r w:rsidRPr="00C6287D">
              <w:rPr>
                <w:rFonts w:eastAsiaTheme="minorEastAsia"/>
                <w:sz w:val="16"/>
                <w:szCs w:val="16"/>
              </w:rPr>
              <w:t xml:space="preserve"> Kruse(R)</w:t>
            </w:r>
          </w:p>
          <w:p w:rsidR="00EE2ACC" w:rsidRPr="005C536A" w:rsidRDefault="00EE2ACC" w:rsidP="00324C09">
            <w:pPr>
              <w:pStyle w:val="TableContents"/>
              <w:jc w:val="center"/>
              <w:rPr>
                <w:rFonts w:ascii="Arial" w:eastAsiaTheme="minorEastAsia" w:hAnsi="Arial" w:cs="Arial"/>
                <w:b/>
                <w:sz w:val="20"/>
                <w:szCs w:val="20"/>
              </w:rPr>
            </w:pPr>
          </w:p>
        </w:tc>
        <w:tc>
          <w:tcPr>
            <w:tcW w:w="8010" w:type="dxa"/>
            <w:tcBorders>
              <w:top w:val="nil"/>
              <w:left w:val="single" w:sz="2" w:space="0" w:color="000000"/>
              <w:bottom w:val="single" w:sz="2" w:space="0" w:color="000000"/>
              <w:right w:val="nil"/>
            </w:tcBorders>
            <w:shd w:val="clear" w:color="auto" w:fill="auto"/>
          </w:tcPr>
          <w:p w:rsidR="00BD5512" w:rsidRDefault="00BD5512" w:rsidP="00324C09">
            <w:pPr>
              <w:pStyle w:val="TableContents"/>
              <w:rPr>
                <w:rFonts w:ascii="Arial" w:eastAsiaTheme="minorEastAsia" w:hAnsi="Arial" w:cs="Arial"/>
                <w:sz w:val="20"/>
                <w:szCs w:val="20"/>
              </w:rPr>
            </w:pPr>
          </w:p>
          <w:p w:rsidR="00690D4D" w:rsidRDefault="00690D4D" w:rsidP="00324C09">
            <w:pPr>
              <w:pStyle w:val="TableContents"/>
              <w:rPr>
                <w:rFonts w:ascii="Arial" w:eastAsiaTheme="minorEastAsia" w:hAnsi="Arial" w:cs="Arial"/>
                <w:sz w:val="20"/>
                <w:szCs w:val="20"/>
              </w:rPr>
            </w:pPr>
            <w:r w:rsidRPr="005C536A">
              <w:rPr>
                <w:rFonts w:ascii="Arial" w:eastAsiaTheme="minorEastAsia" w:hAnsi="Arial" w:cs="Arial"/>
                <w:sz w:val="20"/>
                <w:szCs w:val="20"/>
              </w:rPr>
              <w:t xml:space="preserve">Senate Resolution 49 </w:t>
            </w:r>
            <w:r w:rsidRPr="00C45D41">
              <w:rPr>
                <w:rFonts w:ascii="Arial" w:eastAsiaTheme="minorEastAsia" w:hAnsi="Arial" w:cs="Arial"/>
                <w:sz w:val="20"/>
                <w:szCs w:val="20"/>
              </w:rPr>
              <w:t>supports the existence and importance of Indiana libraries.</w:t>
            </w:r>
          </w:p>
          <w:p w:rsidR="00C45D41" w:rsidRDefault="00C45D41" w:rsidP="00324C09">
            <w:pPr>
              <w:pStyle w:val="TableContents"/>
              <w:rPr>
                <w:rFonts w:ascii="Arial" w:eastAsiaTheme="minorEastAsia" w:hAnsi="Arial" w:cs="Arial"/>
                <w:sz w:val="20"/>
                <w:szCs w:val="20"/>
              </w:rPr>
            </w:pPr>
          </w:p>
          <w:p w:rsidR="00C45D41" w:rsidRPr="00C45D41" w:rsidRDefault="00C45D41" w:rsidP="00324C09">
            <w:pPr>
              <w:pStyle w:val="TableContents"/>
              <w:rPr>
                <w:rFonts w:ascii="Arial" w:eastAsiaTheme="minorEastAsia" w:hAnsi="Arial" w:cs="Arial"/>
                <w:sz w:val="20"/>
                <w:szCs w:val="20"/>
              </w:rPr>
            </w:pPr>
            <w:r>
              <w:rPr>
                <w:rFonts w:ascii="Arial" w:eastAsiaTheme="minorEastAsia" w:hAnsi="Arial" w:cs="Arial"/>
                <w:b/>
                <w:sz w:val="20"/>
                <w:szCs w:val="20"/>
              </w:rPr>
              <w:t xml:space="preserve">Link to Resolution: </w:t>
            </w:r>
            <w:hyperlink r:id="rId18" w:history="1">
              <w:r w:rsidRPr="00C45D41">
                <w:rPr>
                  <w:rStyle w:val="Hyperlink"/>
                  <w:rFonts w:ascii="Arial" w:eastAsiaTheme="minorEastAsia" w:hAnsi="Arial" w:cs="Arial"/>
                  <w:sz w:val="20"/>
                  <w:szCs w:val="20"/>
                </w:rPr>
                <w:t>http://iga.in.gov/static-documents/c/f/8/8/cf8873ea/SR0049.01.INTR.pdf</w:t>
              </w:r>
            </w:hyperlink>
          </w:p>
          <w:p w:rsidR="00C45D41" w:rsidRPr="005C536A" w:rsidRDefault="00C45D41" w:rsidP="00324C09">
            <w:pPr>
              <w:pStyle w:val="TableContents"/>
              <w:rPr>
                <w:rFonts w:ascii="Arial" w:eastAsiaTheme="minorEastAsia" w:hAnsi="Arial" w:cs="Arial"/>
                <w:sz w:val="20"/>
                <w:szCs w:val="20"/>
              </w:rPr>
            </w:pPr>
          </w:p>
        </w:tc>
        <w:tc>
          <w:tcPr>
            <w:tcW w:w="2970" w:type="dxa"/>
            <w:tcBorders>
              <w:top w:val="nil"/>
              <w:left w:val="single" w:sz="2" w:space="0" w:color="000000"/>
              <w:bottom w:val="single" w:sz="2" w:space="0" w:color="000000"/>
              <w:right w:val="single" w:sz="2" w:space="0" w:color="000000"/>
            </w:tcBorders>
            <w:shd w:val="clear" w:color="auto" w:fill="auto"/>
          </w:tcPr>
          <w:p w:rsidR="00BD5512" w:rsidRDefault="00BD5512" w:rsidP="00E7165A">
            <w:pPr>
              <w:pStyle w:val="TableContents"/>
              <w:rPr>
                <w:rFonts w:ascii="Arial" w:eastAsiaTheme="minorEastAsia"/>
                <w:b/>
                <w:sz w:val="20"/>
              </w:rPr>
            </w:pPr>
          </w:p>
          <w:p w:rsidR="00690D4D" w:rsidRPr="00B371D6" w:rsidRDefault="00041D9E" w:rsidP="00E7165A">
            <w:pPr>
              <w:pStyle w:val="TableContents"/>
              <w:rPr>
                <w:rFonts w:ascii="Arial" w:eastAsiaTheme="minorEastAsia"/>
                <w:sz w:val="20"/>
              </w:rPr>
            </w:pPr>
            <w:r w:rsidRPr="00041D9E">
              <w:rPr>
                <w:rFonts w:ascii="Arial" w:eastAsiaTheme="minorEastAsia"/>
                <w:b/>
                <w:sz w:val="20"/>
              </w:rPr>
              <w:t>Applies to Public Libraries</w:t>
            </w:r>
          </w:p>
        </w:tc>
        <w:tc>
          <w:tcPr>
            <w:tcW w:w="1710" w:type="dxa"/>
            <w:tcBorders>
              <w:top w:val="nil"/>
              <w:left w:val="single" w:sz="2" w:space="0" w:color="000000"/>
              <w:bottom w:val="single" w:sz="2" w:space="0" w:color="000000"/>
              <w:right w:val="single" w:sz="2" w:space="0" w:color="000000"/>
            </w:tcBorders>
          </w:tcPr>
          <w:p w:rsidR="00BD5512" w:rsidRDefault="00BD5512" w:rsidP="00324C09">
            <w:pPr>
              <w:pStyle w:val="TableContents"/>
              <w:jc w:val="center"/>
              <w:rPr>
                <w:rFonts w:ascii="Arial" w:eastAsiaTheme="minorEastAsia"/>
                <w:b/>
                <w:sz w:val="20"/>
              </w:rPr>
            </w:pPr>
          </w:p>
          <w:p w:rsidR="00690D4D" w:rsidRPr="00324C09" w:rsidRDefault="00EE2ACC" w:rsidP="00324C09">
            <w:pPr>
              <w:pStyle w:val="TableContents"/>
              <w:jc w:val="center"/>
              <w:rPr>
                <w:rFonts w:ascii="Arial" w:eastAsiaTheme="minorEastAsia"/>
                <w:b/>
                <w:sz w:val="20"/>
              </w:rPr>
            </w:pPr>
            <w:r>
              <w:rPr>
                <w:rFonts w:ascii="Arial" w:eastAsiaTheme="minorEastAsia"/>
                <w:b/>
                <w:sz w:val="20"/>
              </w:rPr>
              <w:t>Upon Passage</w:t>
            </w:r>
          </w:p>
        </w:tc>
      </w:tr>
    </w:tbl>
    <w:p w:rsidR="00357DBF" w:rsidRDefault="00357DBF">
      <w:pPr>
        <w:pStyle w:val="Default"/>
      </w:pPr>
    </w:p>
    <w:p w:rsidR="00086CC5" w:rsidRDefault="00086CC5">
      <w:pPr>
        <w:pStyle w:val="Default"/>
      </w:pPr>
    </w:p>
    <w:sectPr w:rsidR="00086CC5" w:rsidSect="000E1F47">
      <w:headerReference w:type="default" r:id="rId19"/>
      <w:footerReference w:type="default" r:id="rId20"/>
      <w:type w:val="continuous"/>
      <w:pgSz w:w="15840" w:h="12240" w:orient="landscape"/>
      <w:pgMar w:top="1134" w:right="1134" w:bottom="1134" w:left="1134" w:header="720" w:footer="720" w:gutter="0"/>
      <w:cols w:space="720"/>
      <w:formProt w:val="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749" w:rsidRDefault="00AC3749" w:rsidP="00836706">
      <w:pPr>
        <w:spacing w:after="0" w:line="240" w:lineRule="auto"/>
      </w:pPr>
      <w:r>
        <w:separator/>
      </w:r>
    </w:p>
  </w:endnote>
  <w:endnote w:type="continuationSeparator" w:id="0">
    <w:p w:rsidR="00AC3749" w:rsidRDefault="00AC3749" w:rsidP="008367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749" w:rsidRPr="00836706" w:rsidRDefault="00AC3749">
    <w:pPr>
      <w:pStyle w:val="Footer"/>
      <w:rPr>
        <w:rFonts w:ascii="Arial" w:hAnsi="Arial" w:cs="Arial"/>
      </w:rPr>
    </w:pPr>
    <w:r w:rsidRPr="00836706">
      <w:rPr>
        <w:rFonts w:ascii="Arial" w:hAnsi="Arial" w:cs="Arial"/>
      </w:rPr>
      <w:t xml:space="preserve">Page </w:t>
    </w:r>
    <w:r w:rsidR="00E12E0A" w:rsidRPr="00836706">
      <w:rPr>
        <w:rFonts w:ascii="Arial" w:hAnsi="Arial" w:cs="Arial"/>
      </w:rPr>
      <w:fldChar w:fldCharType="begin"/>
    </w:r>
    <w:r w:rsidRPr="00836706">
      <w:rPr>
        <w:rFonts w:ascii="Arial" w:hAnsi="Arial" w:cs="Arial"/>
      </w:rPr>
      <w:instrText xml:space="preserve"> PAGE </w:instrText>
    </w:r>
    <w:r w:rsidR="00E12E0A" w:rsidRPr="00836706">
      <w:rPr>
        <w:rFonts w:ascii="Arial" w:hAnsi="Arial" w:cs="Arial"/>
      </w:rPr>
      <w:fldChar w:fldCharType="separate"/>
    </w:r>
    <w:r w:rsidR="00313F56">
      <w:rPr>
        <w:rFonts w:ascii="Arial" w:hAnsi="Arial" w:cs="Arial"/>
        <w:noProof/>
      </w:rPr>
      <w:t>8</w:t>
    </w:r>
    <w:r w:rsidR="00E12E0A" w:rsidRPr="00836706">
      <w:rPr>
        <w:rFonts w:ascii="Arial" w:hAnsi="Arial" w:cs="Arial"/>
      </w:rPr>
      <w:fldChar w:fldCharType="end"/>
    </w:r>
    <w:r w:rsidRPr="00836706">
      <w:rPr>
        <w:rFonts w:ascii="Arial" w:hAnsi="Arial" w:cs="Arial"/>
      </w:rPr>
      <w:t xml:space="preserve"> of </w:t>
    </w:r>
    <w:r w:rsidR="00E12E0A" w:rsidRPr="00836706">
      <w:rPr>
        <w:rFonts w:ascii="Arial" w:hAnsi="Arial" w:cs="Arial"/>
      </w:rPr>
      <w:fldChar w:fldCharType="begin"/>
    </w:r>
    <w:r w:rsidRPr="00836706">
      <w:rPr>
        <w:rFonts w:ascii="Arial" w:hAnsi="Arial" w:cs="Arial"/>
      </w:rPr>
      <w:instrText xml:space="preserve"> NUMPAGES  </w:instrText>
    </w:r>
    <w:r w:rsidR="00E12E0A" w:rsidRPr="00836706">
      <w:rPr>
        <w:rFonts w:ascii="Arial" w:hAnsi="Arial" w:cs="Arial"/>
      </w:rPr>
      <w:fldChar w:fldCharType="separate"/>
    </w:r>
    <w:r w:rsidR="00313F56">
      <w:rPr>
        <w:rFonts w:ascii="Arial" w:hAnsi="Arial" w:cs="Arial"/>
        <w:noProof/>
      </w:rPr>
      <w:t>8</w:t>
    </w:r>
    <w:r w:rsidR="00E12E0A" w:rsidRPr="00836706">
      <w:rPr>
        <w:rFonts w:ascii="Arial" w:hAnsi="Arial" w:cs="Arial"/>
      </w:rPr>
      <w:fldChar w:fldCharType="end"/>
    </w:r>
    <w:r w:rsidRPr="00836706">
      <w:rPr>
        <w:rFonts w:ascii="Arial" w:hAnsi="Arial" w:cs="Arial"/>
        <w:sz w:val="24"/>
        <w:szCs w:val="24"/>
      </w:rPr>
      <w:tab/>
    </w:r>
    <w:r w:rsidRPr="00836706">
      <w:rPr>
        <w:rFonts w:ascii="Arial" w:hAnsi="Arial" w:cs="Arial"/>
        <w:sz w:val="24"/>
        <w:szCs w:val="24"/>
      </w:rPr>
      <w:tab/>
    </w:r>
    <w:r w:rsidRPr="00836706">
      <w:rPr>
        <w:rFonts w:ascii="Arial" w:hAnsi="Arial" w:cs="Arial"/>
        <w:sz w:val="24"/>
        <w:szCs w:val="24"/>
      </w:rPr>
      <w:tab/>
    </w:r>
    <w:r w:rsidRPr="00836706">
      <w:rPr>
        <w:rFonts w:ascii="Arial" w:hAnsi="Arial" w:cs="Arial"/>
        <w:sz w:val="24"/>
        <w:szCs w:val="24"/>
      </w:rPr>
      <w:tab/>
    </w:r>
    <w:r w:rsidRPr="00836706">
      <w:rPr>
        <w:rFonts w:ascii="Arial" w:hAnsi="Arial" w:cs="Arial"/>
        <w:sz w:val="24"/>
        <w:szCs w:val="24"/>
      </w:rPr>
      <w:tab/>
    </w:r>
    <w:r w:rsidRPr="00836706">
      <w:rPr>
        <w:rFonts w:ascii="Arial" w:hAnsi="Arial" w:cs="Arial"/>
        <w:sz w:val="24"/>
        <w:szCs w:val="24"/>
      </w:rPr>
      <w:tab/>
    </w:r>
    <w:r>
      <w:rPr>
        <w:rFonts w:ascii="Arial" w:hAnsi="Arial" w:cs="Arial"/>
        <w:sz w:val="24"/>
        <w:szCs w:val="24"/>
      </w:rPr>
      <w:t>5.23.14</w:t>
    </w:r>
  </w:p>
  <w:p w:rsidR="00AC3749" w:rsidRDefault="00AC37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749" w:rsidRDefault="00AC3749" w:rsidP="00836706">
      <w:pPr>
        <w:spacing w:after="0" w:line="240" w:lineRule="auto"/>
      </w:pPr>
      <w:r>
        <w:separator/>
      </w:r>
    </w:p>
  </w:footnote>
  <w:footnote w:type="continuationSeparator" w:id="0">
    <w:p w:rsidR="00AC3749" w:rsidRDefault="00AC3749" w:rsidP="008367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749" w:rsidRDefault="00AC3749" w:rsidP="00836706">
    <w:pPr>
      <w:pStyle w:val="Header"/>
      <w:jc w:val="center"/>
      <w:rPr>
        <w:rFonts w:ascii="Arial Rounded MT Bold" w:hAnsi="Arial Rounded MT Bold"/>
        <w:b/>
        <w:sz w:val="28"/>
        <w:szCs w:val="28"/>
      </w:rPr>
    </w:pPr>
    <w:r>
      <w:rPr>
        <w:rFonts w:ascii="Arial Rounded MT Bold" w:hAnsi="Arial Rounded MT Bold"/>
        <w:b/>
        <w:sz w:val="28"/>
        <w:szCs w:val="28"/>
      </w:rPr>
      <w:t xml:space="preserve">2014 </w:t>
    </w:r>
    <w:r w:rsidRPr="00836706">
      <w:rPr>
        <w:rFonts w:ascii="Arial Rounded MT Bold" w:hAnsi="Arial Rounded MT Bold"/>
        <w:b/>
        <w:sz w:val="28"/>
        <w:szCs w:val="28"/>
      </w:rPr>
      <w:t>Legislation</w:t>
    </w:r>
    <w:r>
      <w:rPr>
        <w:rFonts w:ascii="Arial Rounded MT Bold" w:hAnsi="Arial Rounded MT Bold"/>
        <w:b/>
        <w:sz w:val="28"/>
        <w:szCs w:val="28"/>
      </w:rPr>
      <w:t xml:space="preserve"> Report</w:t>
    </w:r>
  </w:p>
  <w:tbl>
    <w:tblPr>
      <w:tblW w:w="14208" w:type="dxa"/>
      <w:tblInd w:w="67" w:type="dxa"/>
      <w:tblLayout w:type="fixed"/>
      <w:tblCellMar>
        <w:top w:w="55" w:type="dxa"/>
        <w:left w:w="55" w:type="dxa"/>
        <w:bottom w:w="55" w:type="dxa"/>
        <w:right w:w="55" w:type="dxa"/>
      </w:tblCellMar>
      <w:tblLook w:val="0000"/>
    </w:tblPr>
    <w:tblGrid>
      <w:gridCol w:w="1518"/>
      <w:gridCol w:w="8010"/>
      <w:gridCol w:w="2970"/>
      <w:gridCol w:w="1710"/>
    </w:tblGrid>
    <w:tr w:rsidR="00AC3749" w:rsidTr="001954F6">
      <w:tc>
        <w:tcPr>
          <w:tcW w:w="1518" w:type="dxa"/>
          <w:tcBorders>
            <w:top w:val="single" w:sz="2" w:space="0" w:color="000000"/>
            <w:left w:val="single" w:sz="2" w:space="0" w:color="000000"/>
            <w:bottom w:val="single" w:sz="2" w:space="0" w:color="000000"/>
            <w:right w:val="nil"/>
          </w:tcBorders>
          <w:shd w:val="clear" w:color="auto" w:fill="C6D9F1" w:themeFill="text2" w:themeFillTint="33"/>
        </w:tcPr>
        <w:p w:rsidR="00AC3749" w:rsidRDefault="00AC3749" w:rsidP="001954F6">
          <w:pPr>
            <w:pStyle w:val="TableContents"/>
            <w:jc w:val="center"/>
            <w:rPr>
              <w:rFonts w:ascii="Arial" w:eastAsiaTheme="minorEastAsia"/>
            </w:rPr>
          </w:pPr>
          <w:r>
            <w:rPr>
              <w:rFonts w:ascii="Arial" w:eastAsiaTheme="minorEastAsia"/>
            </w:rPr>
            <w:t>Enrolled Act</w:t>
          </w:r>
        </w:p>
        <w:p w:rsidR="00AC3749" w:rsidRPr="00357DBF" w:rsidRDefault="00AC3749" w:rsidP="001954F6">
          <w:pPr>
            <w:pStyle w:val="TableContents"/>
            <w:jc w:val="center"/>
            <w:rPr>
              <w:rFonts w:eastAsiaTheme="minorEastAsia"/>
            </w:rPr>
          </w:pPr>
          <w:r>
            <w:rPr>
              <w:rFonts w:ascii="Arial" w:eastAsiaTheme="minorEastAsia"/>
            </w:rPr>
            <w:t xml:space="preserve">Public Law </w:t>
          </w:r>
        </w:p>
      </w:tc>
      <w:tc>
        <w:tcPr>
          <w:tcW w:w="8010" w:type="dxa"/>
          <w:tcBorders>
            <w:top w:val="single" w:sz="2" w:space="0" w:color="000000"/>
            <w:left w:val="single" w:sz="2" w:space="0" w:color="000000"/>
            <w:bottom w:val="single" w:sz="2" w:space="0" w:color="000000"/>
            <w:right w:val="nil"/>
          </w:tcBorders>
          <w:shd w:val="clear" w:color="auto" w:fill="C6D9F1" w:themeFill="text2" w:themeFillTint="33"/>
        </w:tcPr>
        <w:p w:rsidR="00AC3749" w:rsidRPr="00357DBF" w:rsidRDefault="00AC3749" w:rsidP="001954F6">
          <w:pPr>
            <w:pStyle w:val="TableContents"/>
            <w:jc w:val="center"/>
            <w:rPr>
              <w:rFonts w:eastAsiaTheme="minorEastAsia"/>
            </w:rPr>
          </w:pPr>
          <w:r w:rsidRPr="00357DBF">
            <w:rPr>
              <w:rFonts w:ascii="Arial" w:eastAsiaTheme="minorEastAsia"/>
            </w:rPr>
            <w:t>Applicable Info</w:t>
          </w:r>
        </w:p>
      </w:tc>
      <w:tc>
        <w:tcPr>
          <w:tcW w:w="2970"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rsidR="00AC3749" w:rsidRPr="00357DBF" w:rsidRDefault="00AC3749" w:rsidP="001954F6">
          <w:pPr>
            <w:pStyle w:val="TableContents"/>
            <w:jc w:val="center"/>
            <w:rPr>
              <w:rFonts w:eastAsiaTheme="minorEastAsia"/>
            </w:rPr>
          </w:pPr>
          <w:r>
            <w:rPr>
              <w:rFonts w:ascii="Arial" w:eastAsiaTheme="minorEastAsia"/>
            </w:rPr>
            <w:t>Comments</w:t>
          </w:r>
        </w:p>
      </w:tc>
      <w:tc>
        <w:tcPr>
          <w:tcW w:w="1710"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rsidR="00AC3749" w:rsidRDefault="00AC3749" w:rsidP="001954F6">
          <w:pPr>
            <w:pStyle w:val="TableContents"/>
            <w:jc w:val="center"/>
            <w:rPr>
              <w:rFonts w:ascii="Arial" w:eastAsiaTheme="minorEastAsia"/>
            </w:rPr>
          </w:pPr>
          <w:r>
            <w:rPr>
              <w:rFonts w:ascii="Arial" w:eastAsiaTheme="minorEastAsia"/>
            </w:rPr>
            <w:t>Effective Date</w:t>
          </w:r>
        </w:p>
      </w:tc>
    </w:tr>
  </w:tbl>
  <w:p w:rsidR="00AC3749" w:rsidRDefault="00AC3749" w:rsidP="00836706">
    <w:pPr>
      <w:pStyle w:val="Header"/>
      <w:jc w:val="center"/>
      <w:rPr>
        <w:rFonts w:ascii="Arial Rounded MT Bold" w:hAnsi="Arial Rounded MT Bold"/>
        <w:b/>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09"/>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836706"/>
    <w:rsid w:val="00002A4A"/>
    <w:rsid w:val="000118DA"/>
    <w:rsid w:val="000248EB"/>
    <w:rsid w:val="000351B9"/>
    <w:rsid w:val="00041D9E"/>
    <w:rsid w:val="00054B13"/>
    <w:rsid w:val="000556B3"/>
    <w:rsid w:val="00067945"/>
    <w:rsid w:val="0007399E"/>
    <w:rsid w:val="00077C99"/>
    <w:rsid w:val="00081517"/>
    <w:rsid w:val="000838B5"/>
    <w:rsid w:val="00086CC5"/>
    <w:rsid w:val="000904CA"/>
    <w:rsid w:val="00092457"/>
    <w:rsid w:val="00093674"/>
    <w:rsid w:val="00097B4B"/>
    <w:rsid w:val="000A28A0"/>
    <w:rsid w:val="000A79B7"/>
    <w:rsid w:val="000B3F49"/>
    <w:rsid w:val="000C108A"/>
    <w:rsid w:val="000D247E"/>
    <w:rsid w:val="000D6BCD"/>
    <w:rsid w:val="000E1F47"/>
    <w:rsid w:val="000E2A73"/>
    <w:rsid w:val="000E2D1A"/>
    <w:rsid w:val="000E5DCF"/>
    <w:rsid w:val="000F21FB"/>
    <w:rsid w:val="001026A2"/>
    <w:rsid w:val="0010331E"/>
    <w:rsid w:val="00120DCF"/>
    <w:rsid w:val="00122B0E"/>
    <w:rsid w:val="00127444"/>
    <w:rsid w:val="0014651B"/>
    <w:rsid w:val="0015530A"/>
    <w:rsid w:val="00163720"/>
    <w:rsid w:val="0018428C"/>
    <w:rsid w:val="001954F6"/>
    <w:rsid w:val="001957A1"/>
    <w:rsid w:val="00197DED"/>
    <w:rsid w:val="001A1F67"/>
    <w:rsid w:val="001A5CC1"/>
    <w:rsid w:val="001D597F"/>
    <w:rsid w:val="00201238"/>
    <w:rsid w:val="00220CAB"/>
    <w:rsid w:val="00225882"/>
    <w:rsid w:val="00231011"/>
    <w:rsid w:val="0024050A"/>
    <w:rsid w:val="0025000E"/>
    <w:rsid w:val="00254757"/>
    <w:rsid w:val="00255152"/>
    <w:rsid w:val="002632E0"/>
    <w:rsid w:val="002673D2"/>
    <w:rsid w:val="002704BC"/>
    <w:rsid w:val="002A2355"/>
    <w:rsid w:val="002B02B4"/>
    <w:rsid w:val="002B4EA0"/>
    <w:rsid w:val="002B730E"/>
    <w:rsid w:val="002C0DEC"/>
    <w:rsid w:val="002C2779"/>
    <w:rsid w:val="002E0100"/>
    <w:rsid w:val="002F1E3D"/>
    <w:rsid w:val="002F509A"/>
    <w:rsid w:val="003130F6"/>
    <w:rsid w:val="00313F56"/>
    <w:rsid w:val="00315B6D"/>
    <w:rsid w:val="0032116F"/>
    <w:rsid w:val="00322E62"/>
    <w:rsid w:val="00324C09"/>
    <w:rsid w:val="00335BCA"/>
    <w:rsid w:val="00344DCD"/>
    <w:rsid w:val="00344EFB"/>
    <w:rsid w:val="00352DAF"/>
    <w:rsid w:val="0035512F"/>
    <w:rsid w:val="00356206"/>
    <w:rsid w:val="00357DBF"/>
    <w:rsid w:val="00361E8C"/>
    <w:rsid w:val="003632E7"/>
    <w:rsid w:val="0037110A"/>
    <w:rsid w:val="003A68FD"/>
    <w:rsid w:val="003A7316"/>
    <w:rsid w:val="003B3E46"/>
    <w:rsid w:val="003E026A"/>
    <w:rsid w:val="003E68CB"/>
    <w:rsid w:val="003F144B"/>
    <w:rsid w:val="00407772"/>
    <w:rsid w:val="0043692B"/>
    <w:rsid w:val="0044646A"/>
    <w:rsid w:val="0045602F"/>
    <w:rsid w:val="0047143A"/>
    <w:rsid w:val="004C3C6C"/>
    <w:rsid w:val="004D4037"/>
    <w:rsid w:val="004D7D64"/>
    <w:rsid w:val="004E576A"/>
    <w:rsid w:val="004F1635"/>
    <w:rsid w:val="004F652B"/>
    <w:rsid w:val="005025D0"/>
    <w:rsid w:val="0051028B"/>
    <w:rsid w:val="00514B72"/>
    <w:rsid w:val="0051660E"/>
    <w:rsid w:val="00523FCC"/>
    <w:rsid w:val="00543640"/>
    <w:rsid w:val="005474DD"/>
    <w:rsid w:val="00547CB9"/>
    <w:rsid w:val="005501B0"/>
    <w:rsid w:val="005509FA"/>
    <w:rsid w:val="00553721"/>
    <w:rsid w:val="0055401C"/>
    <w:rsid w:val="00565248"/>
    <w:rsid w:val="00582163"/>
    <w:rsid w:val="0058432F"/>
    <w:rsid w:val="005876D7"/>
    <w:rsid w:val="00592947"/>
    <w:rsid w:val="005A16FB"/>
    <w:rsid w:val="005A33D4"/>
    <w:rsid w:val="005B4EAE"/>
    <w:rsid w:val="005C536A"/>
    <w:rsid w:val="005C6452"/>
    <w:rsid w:val="005D0387"/>
    <w:rsid w:val="005D52A1"/>
    <w:rsid w:val="00621A23"/>
    <w:rsid w:val="0062225E"/>
    <w:rsid w:val="006250AB"/>
    <w:rsid w:val="00627E3F"/>
    <w:rsid w:val="00637663"/>
    <w:rsid w:val="00642B80"/>
    <w:rsid w:val="00645BF9"/>
    <w:rsid w:val="00652C09"/>
    <w:rsid w:val="006562E3"/>
    <w:rsid w:val="00663DA5"/>
    <w:rsid w:val="00672A12"/>
    <w:rsid w:val="00676C3F"/>
    <w:rsid w:val="00690D4D"/>
    <w:rsid w:val="00693F7E"/>
    <w:rsid w:val="006A1F39"/>
    <w:rsid w:val="006A2696"/>
    <w:rsid w:val="006A4A25"/>
    <w:rsid w:val="006C1FB7"/>
    <w:rsid w:val="006C267B"/>
    <w:rsid w:val="006C630A"/>
    <w:rsid w:val="006D4DA3"/>
    <w:rsid w:val="006F4E1D"/>
    <w:rsid w:val="00706999"/>
    <w:rsid w:val="00716B66"/>
    <w:rsid w:val="00724167"/>
    <w:rsid w:val="0073433B"/>
    <w:rsid w:val="00747F34"/>
    <w:rsid w:val="00753737"/>
    <w:rsid w:val="00757063"/>
    <w:rsid w:val="00773674"/>
    <w:rsid w:val="0077383C"/>
    <w:rsid w:val="00782DC9"/>
    <w:rsid w:val="00793EC0"/>
    <w:rsid w:val="00795CE7"/>
    <w:rsid w:val="007A1743"/>
    <w:rsid w:val="007A3FF6"/>
    <w:rsid w:val="007A6AB5"/>
    <w:rsid w:val="007B48AF"/>
    <w:rsid w:val="007B7BE9"/>
    <w:rsid w:val="007C3BE9"/>
    <w:rsid w:val="007D401B"/>
    <w:rsid w:val="007E2684"/>
    <w:rsid w:val="007F5D92"/>
    <w:rsid w:val="00801D8B"/>
    <w:rsid w:val="008037AF"/>
    <w:rsid w:val="00807231"/>
    <w:rsid w:val="008163BF"/>
    <w:rsid w:val="00821780"/>
    <w:rsid w:val="00823CC5"/>
    <w:rsid w:val="00836706"/>
    <w:rsid w:val="0083722E"/>
    <w:rsid w:val="008406D8"/>
    <w:rsid w:val="00846A49"/>
    <w:rsid w:val="0085535F"/>
    <w:rsid w:val="00856175"/>
    <w:rsid w:val="00861661"/>
    <w:rsid w:val="00881F78"/>
    <w:rsid w:val="00882FA5"/>
    <w:rsid w:val="00895A3E"/>
    <w:rsid w:val="008A2E75"/>
    <w:rsid w:val="008B07B2"/>
    <w:rsid w:val="008B4C23"/>
    <w:rsid w:val="008C011A"/>
    <w:rsid w:val="008D052E"/>
    <w:rsid w:val="008E34C7"/>
    <w:rsid w:val="008F4DCB"/>
    <w:rsid w:val="00900CB1"/>
    <w:rsid w:val="00904EDE"/>
    <w:rsid w:val="00913879"/>
    <w:rsid w:val="00921C10"/>
    <w:rsid w:val="0092370A"/>
    <w:rsid w:val="00924079"/>
    <w:rsid w:val="00940AAF"/>
    <w:rsid w:val="00953354"/>
    <w:rsid w:val="009679DA"/>
    <w:rsid w:val="00971ED0"/>
    <w:rsid w:val="00976700"/>
    <w:rsid w:val="009778D0"/>
    <w:rsid w:val="009A5E5D"/>
    <w:rsid w:val="009C4378"/>
    <w:rsid w:val="009C4513"/>
    <w:rsid w:val="009F32D9"/>
    <w:rsid w:val="009F3A63"/>
    <w:rsid w:val="009F62F3"/>
    <w:rsid w:val="00A02B0D"/>
    <w:rsid w:val="00A0738D"/>
    <w:rsid w:val="00A2285D"/>
    <w:rsid w:val="00A51927"/>
    <w:rsid w:val="00A536EE"/>
    <w:rsid w:val="00A61C85"/>
    <w:rsid w:val="00A77A23"/>
    <w:rsid w:val="00A83625"/>
    <w:rsid w:val="00A843EB"/>
    <w:rsid w:val="00A8694F"/>
    <w:rsid w:val="00A8793E"/>
    <w:rsid w:val="00A9538A"/>
    <w:rsid w:val="00AC3749"/>
    <w:rsid w:val="00AD148E"/>
    <w:rsid w:val="00AD3C0F"/>
    <w:rsid w:val="00AD76DD"/>
    <w:rsid w:val="00AE2664"/>
    <w:rsid w:val="00AE4514"/>
    <w:rsid w:val="00AF15DE"/>
    <w:rsid w:val="00AF2B02"/>
    <w:rsid w:val="00B169FD"/>
    <w:rsid w:val="00B17984"/>
    <w:rsid w:val="00B35519"/>
    <w:rsid w:val="00B3589B"/>
    <w:rsid w:val="00B371D6"/>
    <w:rsid w:val="00B44A4A"/>
    <w:rsid w:val="00B46505"/>
    <w:rsid w:val="00B63825"/>
    <w:rsid w:val="00B65D87"/>
    <w:rsid w:val="00B772C1"/>
    <w:rsid w:val="00B8737B"/>
    <w:rsid w:val="00B941A3"/>
    <w:rsid w:val="00B950DC"/>
    <w:rsid w:val="00B95FC4"/>
    <w:rsid w:val="00BA311C"/>
    <w:rsid w:val="00BB6EE6"/>
    <w:rsid w:val="00BC3594"/>
    <w:rsid w:val="00BC561D"/>
    <w:rsid w:val="00BD482F"/>
    <w:rsid w:val="00BD5512"/>
    <w:rsid w:val="00BF0160"/>
    <w:rsid w:val="00C07B05"/>
    <w:rsid w:val="00C24338"/>
    <w:rsid w:val="00C24341"/>
    <w:rsid w:val="00C44549"/>
    <w:rsid w:val="00C45D41"/>
    <w:rsid w:val="00C6287D"/>
    <w:rsid w:val="00C64828"/>
    <w:rsid w:val="00C72944"/>
    <w:rsid w:val="00C7571E"/>
    <w:rsid w:val="00C769D5"/>
    <w:rsid w:val="00C80D2A"/>
    <w:rsid w:val="00C969C4"/>
    <w:rsid w:val="00C97A39"/>
    <w:rsid w:val="00CA1023"/>
    <w:rsid w:val="00CC2578"/>
    <w:rsid w:val="00CC5D2C"/>
    <w:rsid w:val="00CD2E07"/>
    <w:rsid w:val="00CE08BC"/>
    <w:rsid w:val="00CE2534"/>
    <w:rsid w:val="00CE5313"/>
    <w:rsid w:val="00D0273A"/>
    <w:rsid w:val="00D22ABD"/>
    <w:rsid w:val="00D35875"/>
    <w:rsid w:val="00D53A78"/>
    <w:rsid w:val="00D63472"/>
    <w:rsid w:val="00D654E5"/>
    <w:rsid w:val="00D7440D"/>
    <w:rsid w:val="00D8596E"/>
    <w:rsid w:val="00DA0568"/>
    <w:rsid w:val="00DA225C"/>
    <w:rsid w:val="00DA452D"/>
    <w:rsid w:val="00DA7C79"/>
    <w:rsid w:val="00DB0F14"/>
    <w:rsid w:val="00DB2E06"/>
    <w:rsid w:val="00DD0C23"/>
    <w:rsid w:val="00DE1D54"/>
    <w:rsid w:val="00DE793E"/>
    <w:rsid w:val="00DF7391"/>
    <w:rsid w:val="00E12E0A"/>
    <w:rsid w:val="00E17737"/>
    <w:rsid w:val="00E20745"/>
    <w:rsid w:val="00E45394"/>
    <w:rsid w:val="00E62123"/>
    <w:rsid w:val="00E654EC"/>
    <w:rsid w:val="00E7165A"/>
    <w:rsid w:val="00E86D38"/>
    <w:rsid w:val="00EA57C4"/>
    <w:rsid w:val="00EA7B52"/>
    <w:rsid w:val="00EB51BF"/>
    <w:rsid w:val="00EC6F85"/>
    <w:rsid w:val="00ED0E07"/>
    <w:rsid w:val="00EE2ACC"/>
    <w:rsid w:val="00EF61E2"/>
    <w:rsid w:val="00F01371"/>
    <w:rsid w:val="00F019F9"/>
    <w:rsid w:val="00F036CE"/>
    <w:rsid w:val="00F03838"/>
    <w:rsid w:val="00F22CB7"/>
    <w:rsid w:val="00F45945"/>
    <w:rsid w:val="00F547F8"/>
    <w:rsid w:val="00F611CA"/>
    <w:rsid w:val="00F64C26"/>
    <w:rsid w:val="00F7465D"/>
    <w:rsid w:val="00F76295"/>
    <w:rsid w:val="00F820BD"/>
    <w:rsid w:val="00F91778"/>
    <w:rsid w:val="00F959E1"/>
    <w:rsid w:val="00FA10D2"/>
    <w:rsid w:val="00FB0D5D"/>
    <w:rsid w:val="00FB1658"/>
    <w:rsid w:val="00FC2A69"/>
    <w:rsid w:val="00FE18E1"/>
    <w:rsid w:val="00FE25D7"/>
    <w:rsid w:val="00FE38D0"/>
    <w:rsid w:val="00FF6E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F47"/>
    <w:pPr>
      <w:spacing w:after="200" w:line="276" w:lineRule="auto"/>
    </w:pPr>
    <w:rPr>
      <w:rFonts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1F47"/>
    <w:pPr>
      <w:widowControl w:val="0"/>
      <w:autoSpaceDE w:val="0"/>
      <w:autoSpaceDN w:val="0"/>
      <w:adjustRightInd w:val="0"/>
    </w:pPr>
    <w:rPr>
      <w:rFonts w:ascii="Times New Roman" w:hAnsi="Times New Roman" w:cs="Times New Roman"/>
      <w:kern w:val="1"/>
      <w:sz w:val="24"/>
      <w:szCs w:val="24"/>
      <w:lang w:eastAsia="zh-CN" w:bidi="hi-IN"/>
    </w:rPr>
  </w:style>
  <w:style w:type="paragraph" w:customStyle="1" w:styleId="Heading">
    <w:name w:val="Heading"/>
    <w:basedOn w:val="Default"/>
    <w:next w:val="Textbody"/>
    <w:uiPriority w:val="99"/>
    <w:rsid w:val="000E1F47"/>
    <w:pPr>
      <w:keepNext/>
      <w:spacing w:before="240" w:after="120"/>
    </w:pPr>
    <w:rPr>
      <w:rFonts w:ascii="Arial" w:hAnsi="Microsoft YaHei" w:cs="Arial"/>
      <w:kern w:val="0"/>
      <w:sz w:val="28"/>
      <w:szCs w:val="28"/>
      <w:lang w:eastAsia="en-US" w:bidi="ar-SA"/>
    </w:rPr>
  </w:style>
  <w:style w:type="paragraph" w:customStyle="1" w:styleId="Textbody">
    <w:name w:val="Text body"/>
    <w:basedOn w:val="Default"/>
    <w:uiPriority w:val="99"/>
    <w:rsid w:val="000E1F47"/>
    <w:pPr>
      <w:spacing w:after="120"/>
    </w:pPr>
    <w:rPr>
      <w:kern w:val="0"/>
      <w:lang w:eastAsia="en-US" w:bidi="ar-SA"/>
    </w:rPr>
  </w:style>
  <w:style w:type="paragraph" w:styleId="List">
    <w:name w:val="List"/>
    <w:basedOn w:val="Textbody"/>
    <w:uiPriority w:val="99"/>
    <w:rsid w:val="000E1F47"/>
  </w:style>
  <w:style w:type="paragraph" w:styleId="Caption">
    <w:name w:val="caption"/>
    <w:basedOn w:val="Default"/>
    <w:uiPriority w:val="99"/>
    <w:qFormat/>
    <w:rsid w:val="000E1F47"/>
    <w:pPr>
      <w:suppressLineNumbers/>
      <w:spacing w:before="120" w:after="120"/>
    </w:pPr>
    <w:rPr>
      <w:i/>
      <w:iCs/>
      <w:kern w:val="0"/>
      <w:lang w:eastAsia="en-US" w:bidi="ar-SA"/>
    </w:rPr>
  </w:style>
  <w:style w:type="paragraph" w:customStyle="1" w:styleId="Index">
    <w:name w:val="Index"/>
    <w:basedOn w:val="Default"/>
    <w:uiPriority w:val="99"/>
    <w:rsid w:val="000E1F47"/>
    <w:pPr>
      <w:suppressLineNumbers/>
    </w:pPr>
    <w:rPr>
      <w:kern w:val="0"/>
      <w:lang w:eastAsia="en-US" w:bidi="ar-SA"/>
    </w:rPr>
  </w:style>
  <w:style w:type="paragraph" w:customStyle="1" w:styleId="TableContents">
    <w:name w:val="Table Contents"/>
    <w:basedOn w:val="Default"/>
    <w:uiPriority w:val="99"/>
    <w:rsid w:val="000E1F47"/>
    <w:pPr>
      <w:suppressLineNumbers/>
    </w:pPr>
    <w:rPr>
      <w:kern w:val="0"/>
      <w:lang w:eastAsia="en-US" w:bidi="ar-SA"/>
    </w:rPr>
  </w:style>
  <w:style w:type="paragraph" w:customStyle="1" w:styleId="TableHeading">
    <w:name w:val="Table Heading"/>
    <w:basedOn w:val="TableContents"/>
    <w:uiPriority w:val="99"/>
    <w:rsid w:val="000E1F47"/>
    <w:pPr>
      <w:jc w:val="center"/>
    </w:pPr>
    <w:rPr>
      <w:b/>
      <w:bCs/>
    </w:rPr>
  </w:style>
  <w:style w:type="paragraph" w:styleId="Header">
    <w:name w:val="header"/>
    <w:basedOn w:val="Normal"/>
    <w:link w:val="HeaderChar"/>
    <w:uiPriority w:val="99"/>
    <w:unhideWhenUsed/>
    <w:rsid w:val="00836706"/>
    <w:pPr>
      <w:tabs>
        <w:tab w:val="center" w:pos="4680"/>
        <w:tab w:val="right" w:pos="9360"/>
      </w:tabs>
    </w:pPr>
  </w:style>
  <w:style w:type="character" w:customStyle="1" w:styleId="HeaderChar">
    <w:name w:val="Header Char"/>
    <w:basedOn w:val="DefaultParagraphFont"/>
    <w:link w:val="Header"/>
    <w:uiPriority w:val="99"/>
    <w:locked/>
    <w:rsid w:val="00836706"/>
    <w:rPr>
      <w:rFonts w:cs="Times New Roman"/>
    </w:rPr>
  </w:style>
  <w:style w:type="paragraph" w:styleId="Footer">
    <w:name w:val="footer"/>
    <w:basedOn w:val="Normal"/>
    <w:link w:val="FooterChar"/>
    <w:uiPriority w:val="99"/>
    <w:unhideWhenUsed/>
    <w:rsid w:val="00836706"/>
    <w:pPr>
      <w:tabs>
        <w:tab w:val="center" w:pos="4680"/>
        <w:tab w:val="right" w:pos="9360"/>
      </w:tabs>
    </w:pPr>
  </w:style>
  <w:style w:type="character" w:customStyle="1" w:styleId="FooterChar">
    <w:name w:val="Footer Char"/>
    <w:basedOn w:val="DefaultParagraphFont"/>
    <w:link w:val="Footer"/>
    <w:uiPriority w:val="99"/>
    <w:locked/>
    <w:rsid w:val="00836706"/>
    <w:rPr>
      <w:rFonts w:cs="Times New Roman"/>
    </w:rPr>
  </w:style>
  <w:style w:type="character" w:customStyle="1" w:styleId="apple-converted-space">
    <w:name w:val="apple-converted-space"/>
    <w:basedOn w:val="DefaultParagraphFont"/>
    <w:rsid w:val="0014651B"/>
  </w:style>
  <w:style w:type="character" w:styleId="Hyperlink">
    <w:name w:val="Hyperlink"/>
    <w:basedOn w:val="DefaultParagraphFont"/>
    <w:uiPriority w:val="99"/>
    <w:unhideWhenUsed/>
    <w:rsid w:val="000C108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92456880">
      <w:bodyDiv w:val="1"/>
      <w:marLeft w:val="0"/>
      <w:marRight w:val="0"/>
      <w:marTop w:val="0"/>
      <w:marBottom w:val="0"/>
      <w:divBdr>
        <w:top w:val="none" w:sz="0" w:space="0" w:color="auto"/>
        <w:left w:val="none" w:sz="0" w:space="0" w:color="auto"/>
        <w:bottom w:val="none" w:sz="0" w:space="0" w:color="auto"/>
        <w:right w:val="none" w:sz="0" w:space="0" w:color="auto"/>
      </w:divBdr>
      <w:divsChild>
        <w:div w:id="462038040">
          <w:marLeft w:val="0"/>
          <w:marRight w:val="0"/>
          <w:marTop w:val="0"/>
          <w:marBottom w:val="0"/>
          <w:divBdr>
            <w:top w:val="none" w:sz="0" w:space="0" w:color="auto"/>
            <w:left w:val="none" w:sz="0" w:space="0" w:color="auto"/>
            <w:bottom w:val="none" w:sz="0" w:space="0" w:color="auto"/>
            <w:right w:val="none" w:sz="0" w:space="0" w:color="auto"/>
          </w:divBdr>
        </w:div>
        <w:div w:id="889271097">
          <w:marLeft w:val="0"/>
          <w:marRight w:val="0"/>
          <w:marTop w:val="0"/>
          <w:marBottom w:val="0"/>
          <w:divBdr>
            <w:top w:val="none" w:sz="0" w:space="0" w:color="auto"/>
            <w:left w:val="none" w:sz="0" w:space="0" w:color="auto"/>
            <w:bottom w:val="none" w:sz="0" w:space="0" w:color="auto"/>
            <w:right w:val="none" w:sz="0" w:space="0" w:color="auto"/>
          </w:divBdr>
        </w:div>
      </w:divsChild>
    </w:div>
    <w:div w:id="745735092">
      <w:bodyDiv w:val="1"/>
      <w:marLeft w:val="0"/>
      <w:marRight w:val="0"/>
      <w:marTop w:val="0"/>
      <w:marBottom w:val="0"/>
      <w:divBdr>
        <w:top w:val="none" w:sz="0" w:space="0" w:color="auto"/>
        <w:left w:val="none" w:sz="0" w:space="0" w:color="auto"/>
        <w:bottom w:val="none" w:sz="0" w:space="0" w:color="auto"/>
        <w:right w:val="none" w:sz="0" w:space="0" w:color="auto"/>
      </w:divBdr>
      <w:divsChild>
        <w:div w:id="1200632733">
          <w:marLeft w:val="0"/>
          <w:marRight w:val="0"/>
          <w:marTop w:val="0"/>
          <w:marBottom w:val="0"/>
          <w:divBdr>
            <w:top w:val="none" w:sz="0" w:space="0" w:color="auto"/>
            <w:left w:val="none" w:sz="0" w:space="0" w:color="auto"/>
            <w:bottom w:val="none" w:sz="0" w:space="0" w:color="auto"/>
            <w:right w:val="none" w:sz="0" w:space="0" w:color="auto"/>
          </w:divBdr>
        </w:div>
        <w:div w:id="1786803126">
          <w:marLeft w:val="0"/>
          <w:marRight w:val="0"/>
          <w:marTop w:val="0"/>
          <w:marBottom w:val="0"/>
          <w:divBdr>
            <w:top w:val="none" w:sz="0" w:space="0" w:color="auto"/>
            <w:left w:val="none" w:sz="0" w:space="0" w:color="auto"/>
            <w:bottom w:val="none" w:sz="0" w:space="0" w:color="auto"/>
            <w:right w:val="none" w:sz="0" w:space="0" w:color="auto"/>
          </w:divBdr>
        </w:div>
      </w:divsChild>
    </w:div>
    <w:div w:id="1466269125">
      <w:bodyDiv w:val="1"/>
      <w:marLeft w:val="0"/>
      <w:marRight w:val="0"/>
      <w:marTop w:val="0"/>
      <w:marBottom w:val="0"/>
      <w:divBdr>
        <w:top w:val="none" w:sz="0" w:space="0" w:color="auto"/>
        <w:left w:val="none" w:sz="0" w:space="0" w:color="auto"/>
        <w:bottom w:val="none" w:sz="0" w:space="0" w:color="auto"/>
        <w:right w:val="none" w:sz="0" w:space="0" w:color="auto"/>
      </w:divBdr>
      <w:divsChild>
        <w:div w:id="245580623">
          <w:marLeft w:val="0"/>
          <w:marRight w:val="0"/>
          <w:marTop w:val="0"/>
          <w:marBottom w:val="0"/>
          <w:divBdr>
            <w:top w:val="none" w:sz="0" w:space="0" w:color="auto"/>
            <w:left w:val="none" w:sz="0" w:space="0" w:color="auto"/>
            <w:bottom w:val="none" w:sz="0" w:space="0" w:color="auto"/>
            <w:right w:val="none" w:sz="0" w:space="0" w:color="auto"/>
          </w:divBdr>
        </w:div>
        <w:div w:id="2136750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ga.in.gov/static-documents/c/e/d/d/cedd9045/SB0332.05.ENRS.pdf" TargetMode="External"/><Relationship Id="rId13" Type="http://schemas.openxmlformats.org/officeDocument/2006/relationships/hyperlink" Target="http://iga.in.gov/static-documents/f/4/7/1/f471e2a1/HB1083.04.ENRH.pdf" TargetMode="External"/><Relationship Id="rId18" Type="http://schemas.openxmlformats.org/officeDocument/2006/relationships/hyperlink" Target="http://iga.in.gov/static-documents/c/f/8/8/cf8873ea/SR0049.01.INTR.pdf"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iga.in.gov/static-documents/e/3/9/d/e39dfac9/SB0106.05.ENRS.pdf" TargetMode="External"/><Relationship Id="rId12" Type="http://schemas.openxmlformats.org/officeDocument/2006/relationships/hyperlink" Target="http://iga.in.gov/static-documents/3/e/7/3/3e737c8d/HB1062.05.ENRH.pdf" TargetMode="External"/><Relationship Id="rId17" Type="http://schemas.openxmlformats.org/officeDocument/2006/relationships/hyperlink" Target="http://iga.in.gov/static-documents/9/a/9/1/9a91d852/SR0048.02.COMS.pdf" TargetMode="External"/><Relationship Id="rId2" Type="http://schemas.openxmlformats.org/officeDocument/2006/relationships/settings" Target="settings.xml"/><Relationship Id="rId16" Type="http://schemas.openxmlformats.org/officeDocument/2006/relationships/hyperlink" Target="http://iga.in.gov/static-documents/a/7/0/7/a7076f4b/SB0225.05.ENRS.pdf"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iga.in.gov/static-documents/1/b/c/5/1bc5a490/SB0117.05.ENRS.pdf" TargetMode="External"/><Relationship Id="rId11" Type="http://schemas.openxmlformats.org/officeDocument/2006/relationships/hyperlink" Target="http://iga.in.gov/static-documents/7/c/4/b/7c4b035b/SB0209.04.ENRS.pdf" TargetMode="External"/><Relationship Id="rId5" Type="http://schemas.openxmlformats.org/officeDocument/2006/relationships/endnotes" Target="endnotes.xml"/><Relationship Id="rId15" Type="http://schemas.openxmlformats.org/officeDocument/2006/relationships/hyperlink" Target="http://iga.in.gov/static-documents/2/4/e/e/24ee92ce/SB0001.06.ENRS.pdf" TargetMode="External"/><Relationship Id="rId10" Type="http://schemas.openxmlformats.org/officeDocument/2006/relationships/hyperlink" Target="http://iga.in.gov/static-documents/a/7/b/d/a7bd1303/HB1075.07.ENRH.pdf"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iga.in.gov/static-documents/3/b/9/f/3b9fa06f/SB0367.08.ENRS.pdf" TargetMode="External"/><Relationship Id="rId14" Type="http://schemas.openxmlformats.org/officeDocument/2006/relationships/hyperlink" Target="http://iga.in.gov/static-documents/f/0/5/4/f05414b3/HB1266.06.ENRH.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792</TotalTime>
  <Pages>8</Pages>
  <Words>2100</Words>
  <Characters>13588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15657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STW</dc:creator>
  <cp:lastModifiedBy>STW</cp:lastModifiedBy>
  <cp:revision>74</cp:revision>
  <cp:lastPrinted>2014-06-03T20:36:00Z</cp:lastPrinted>
  <dcterms:created xsi:type="dcterms:W3CDTF">2014-05-20T17:19:00Z</dcterms:created>
  <dcterms:modified xsi:type="dcterms:W3CDTF">2014-06-03T20:38:00Z</dcterms:modified>
</cp:coreProperties>
</file>